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A37BE" w14:textId="4D49A1CB" w:rsidR="0034605E" w:rsidRPr="00646EE0" w:rsidRDefault="00A330D3" w:rsidP="00B83068">
      <w:pPr>
        <w:rPr>
          <w:rFonts w:ascii="Acumin Pro" w:eastAsia="PMingLiU" w:hAnsi="Acumin Pro" w:cs="Arial"/>
          <w:b/>
          <w:bCs/>
          <w:color w:val="1F546B" w:themeColor="text2"/>
          <w:kern w:val="32"/>
          <w:sz w:val="52"/>
          <w:szCs w:val="32"/>
        </w:rPr>
      </w:pPr>
      <w:r w:rsidRPr="00646EE0">
        <w:rPr>
          <w:rFonts w:ascii="Acumin Pro" w:eastAsia="PMingLiU" w:hAnsi="Acumin Pro"/>
          <w:b/>
          <w:color w:val="1F546B" w:themeColor="text2"/>
          <w:kern w:val="32"/>
          <w:sz w:val="52"/>
        </w:rPr>
        <w:t>紐西蘭安全情報局『</w:t>
      </w:r>
      <w:r w:rsidRPr="00646EE0">
        <w:rPr>
          <w:rFonts w:ascii="Acumin Pro" w:eastAsia="PMingLiU" w:hAnsi="Acumin Pro"/>
          <w:b/>
          <w:color w:val="1F546B" w:themeColor="text2"/>
          <w:kern w:val="32"/>
          <w:sz w:val="52"/>
        </w:rPr>
        <w:t>2024</w:t>
      </w:r>
      <w:r w:rsidRPr="00646EE0">
        <w:rPr>
          <w:rFonts w:ascii="Acumin Pro" w:eastAsia="PMingLiU" w:hAnsi="Acumin Pro"/>
          <w:b/>
          <w:color w:val="1F546B" w:themeColor="text2"/>
          <w:kern w:val="32"/>
          <w:sz w:val="52"/>
        </w:rPr>
        <w:t>年安全威脅環境評估』報告中的案例分析</w:t>
      </w:r>
      <w:r w:rsidRPr="00646EE0">
        <w:rPr>
          <w:rFonts w:ascii="Acumin Pro" w:eastAsia="PMingLiU" w:hAnsi="Acumin Pro"/>
          <w:b/>
          <w:color w:val="1F546B" w:themeColor="text2"/>
          <w:kern w:val="32"/>
          <w:sz w:val="52"/>
        </w:rPr>
        <w:t xml:space="preserve"> </w:t>
      </w:r>
    </w:p>
    <w:p w14:paraId="341EE273" w14:textId="4D477768" w:rsidR="005C2C59" w:rsidRPr="00646EE0" w:rsidRDefault="005C2C59" w:rsidP="00B83068">
      <w:pPr>
        <w:rPr>
          <w:rFonts w:ascii="Acumin Pro" w:eastAsia="PMingLiU" w:hAnsi="Acumin Pro"/>
        </w:rPr>
      </w:pPr>
      <w:r w:rsidRPr="00646EE0">
        <w:rPr>
          <w:rFonts w:ascii="Acumin Pro" w:eastAsia="PMingLiU" w:hAnsi="Acumin Pro"/>
          <w:b/>
          <w:bCs/>
          <w:noProof/>
          <w:sz w:val="22"/>
          <w:szCs w:val="22"/>
        </w:rPr>
        <mc:AlternateContent>
          <mc:Choice Requires="wps">
            <w:drawing>
              <wp:anchor distT="0" distB="0" distL="114300" distR="114300" simplePos="0" relativeHeight="251659264" behindDoc="0" locked="0" layoutInCell="1" allowOverlap="1" wp14:anchorId="49BCA9A5" wp14:editId="2A776548">
                <wp:simplePos x="0" y="0"/>
                <wp:positionH relativeFrom="margin">
                  <wp:posOffset>0</wp:posOffset>
                </wp:positionH>
                <wp:positionV relativeFrom="paragraph">
                  <wp:posOffset>82115</wp:posOffset>
                </wp:positionV>
                <wp:extent cx="5873262" cy="1619250"/>
                <wp:effectExtent l="0" t="0" r="13335" b="19050"/>
                <wp:wrapNone/>
                <wp:docPr id="1956840727" name="Rectangle 1"/>
                <wp:cNvGraphicFramePr/>
                <a:graphic xmlns:a="http://schemas.openxmlformats.org/drawingml/2006/main">
                  <a:graphicData uri="http://schemas.microsoft.com/office/word/2010/wordprocessingShape">
                    <wps:wsp>
                      <wps:cNvSpPr/>
                      <wps:spPr>
                        <a:xfrm>
                          <a:off x="0" y="0"/>
                          <a:ext cx="5873262" cy="1619250"/>
                        </a:xfrm>
                        <a:prstGeom prst="rect">
                          <a:avLst/>
                        </a:prstGeom>
                      </wps:spPr>
                      <wps:style>
                        <a:lnRef idx="2">
                          <a:schemeClr val="accent2"/>
                        </a:lnRef>
                        <a:fillRef idx="1">
                          <a:schemeClr val="lt1"/>
                        </a:fillRef>
                        <a:effectRef idx="0">
                          <a:schemeClr val="accent2"/>
                        </a:effectRef>
                        <a:fontRef idx="minor">
                          <a:schemeClr val="dk1"/>
                        </a:fontRef>
                      </wps:style>
                      <wps:txbx>
                        <w:txbxContent>
                          <w:p w14:paraId="0C20BA58" w14:textId="5E997F55" w:rsidR="00A330D3" w:rsidRPr="00646EE0" w:rsidRDefault="00A330D3" w:rsidP="005C2C59">
                            <w:pPr>
                              <w:spacing w:after="180"/>
                              <w:rPr>
                                <w:rFonts w:ascii="Acumin Pro" w:eastAsia="PMingLiU" w:hAnsi="Acumin Pro"/>
                                <w:b/>
                                <w:bCs/>
                                <w:color w:val="000000" w:themeColor="text1"/>
                                <w:sz w:val="22"/>
                                <w:szCs w:val="22"/>
                              </w:rPr>
                            </w:pPr>
                            <w:r w:rsidRPr="00646EE0">
                              <w:rPr>
                                <w:rFonts w:ascii="Acumin Pro" w:eastAsia="PMingLiU" w:hAnsi="Acumin Pro"/>
                                <w:color w:val="000000" w:themeColor="text1"/>
                                <w:sz w:val="22"/>
                              </w:rPr>
                              <w:t>以下案例分析來自</w:t>
                            </w:r>
                            <w:hyperlink r:id="rId8" w:history="1">
                              <w:r w:rsidRPr="00646EE0">
                                <w:rPr>
                                  <w:rStyle w:val="Hyperlink"/>
                                  <w:rFonts w:ascii="Acumin Pro" w:eastAsia="PMingLiU" w:hAnsi="Acumin Pro"/>
                                  <w:sz w:val="22"/>
                                </w:rPr>
                                <w:t>紐西蘭安全情報局｜『</w:t>
                              </w:r>
                              <w:r w:rsidRPr="00646EE0">
                                <w:rPr>
                                  <w:rStyle w:val="Hyperlink"/>
                                  <w:rFonts w:ascii="Acumin Pro" w:eastAsia="PMingLiU" w:hAnsi="Acumin Pro"/>
                                  <w:sz w:val="22"/>
                                </w:rPr>
                                <w:t>2024</w:t>
                              </w:r>
                              <w:r w:rsidRPr="00646EE0">
                                <w:rPr>
                                  <w:rStyle w:val="Hyperlink"/>
                                  <w:rFonts w:ascii="Acumin Pro" w:eastAsia="PMingLiU" w:hAnsi="Acumin Pro"/>
                                  <w:sz w:val="22"/>
                                </w:rPr>
                                <w:t>年安全威脅環境評估』報告</w:t>
                              </w:r>
                            </w:hyperlink>
                            <w:r w:rsidRPr="00646EE0">
                              <w:rPr>
                                <w:rFonts w:ascii="Acumin Pro" w:eastAsia="PMingLiU" w:hAnsi="Acumin Pro"/>
                                <w:color w:val="000000" w:themeColor="text1"/>
                                <w:sz w:val="22"/>
                              </w:rPr>
                              <w:t>。其中的「外國政府」是指</w:t>
                            </w:r>
                            <w:r w:rsidRPr="00646EE0">
                              <w:rPr>
                                <w:rFonts w:ascii="Acumin Pro" w:eastAsia="PMingLiU" w:hAnsi="Acumin Pro"/>
                                <w:b/>
                                <w:bCs/>
                                <w:color w:val="000000" w:themeColor="text1"/>
                                <w:sz w:val="22"/>
                                <w:szCs w:val="22"/>
                              </w:rPr>
                              <w:t>除紐西蘭以外的任何國家</w:t>
                            </w:r>
                            <w:r w:rsidRPr="00646EE0">
                              <w:rPr>
                                <w:rFonts w:ascii="Acumin Pro" w:eastAsia="PMingLiU" w:hAnsi="Acumin Pro"/>
                                <w:color w:val="000000" w:themeColor="text1"/>
                                <w:sz w:val="22"/>
                              </w:rPr>
                              <w:t>，此術語用於指代除紐西蘭以外的國家。</w:t>
                            </w:r>
                          </w:p>
                          <w:p w14:paraId="42E216BA" w14:textId="6B3CF197" w:rsidR="005C2C59" w:rsidRPr="00646EE0" w:rsidRDefault="005C2C59" w:rsidP="005C2C59">
                            <w:pPr>
                              <w:spacing w:after="180"/>
                              <w:rPr>
                                <w:rFonts w:ascii="Acumin Pro" w:eastAsia="PMingLiU" w:hAnsi="Acumin Pro"/>
                                <w:color w:val="000000" w:themeColor="text1"/>
                                <w:sz w:val="22"/>
                                <w:szCs w:val="22"/>
                              </w:rPr>
                            </w:pPr>
                            <w:r w:rsidRPr="00646EE0">
                              <w:rPr>
                                <w:rFonts w:ascii="Acumin Pro" w:eastAsia="PMingLiU" w:hAnsi="Acumin Pro"/>
                                <w:b/>
                                <w:color w:val="000000" w:themeColor="text1"/>
                                <w:sz w:val="22"/>
                              </w:rPr>
                              <w:t>紐西蘭安全情報局（</w:t>
                            </w:r>
                            <w:r w:rsidRPr="00646EE0">
                              <w:rPr>
                                <w:rFonts w:ascii="Acumin Pro" w:eastAsia="PMingLiU" w:hAnsi="Acumin Pro"/>
                                <w:b/>
                                <w:color w:val="000000" w:themeColor="text1"/>
                                <w:sz w:val="22"/>
                              </w:rPr>
                              <w:t>NZSIS</w:t>
                            </w:r>
                            <w:r w:rsidRPr="00646EE0">
                              <w:rPr>
                                <w:rFonts w:ascii="Acumin Pro" w:eastAsia="PMingLiU" w:hAnsi="Acumin Pro"/>
                                <w:b/>
                                <w:color w:val="000000" w:themeColor="text1"/>
                                <w:sz w:val="22"/>
                              </w:rPr>
                              <w:t>）將外國干預定義為</w:t>
                            </w:r>
                            <w:r w:rsidRPr="00646EE0">
                              <w:rPr>
                                <w:rFonts w:ascii="Acumin Pro" w:eastAsia="PMingLiU" w:hAnsi="Acumin Pro"/>
                                <w:color w:val="000000" w:themeColor="text1"/>
                                <w:sz w:val="22"/>
                              </w:rPr>
                              <w:t>外國政府（通常透過代理人）試圖以欺騙、貪腐或强制手段影響、破壞或顛覆紐西蘭國家利益的行為。正常的外交活動、遊說以及其他以真誠、公開方式擴大影響力的行為不屬於干預。</w:t>
                            </w:r>
                            <w:r w:rsidRPr="00646EE0">
                              <w:rPr>
                                <w:rFonts w:ascii="Acumin Pro" w:eastAsia="PMingLiU" w:hAnsi="Acumin Pro"/>
                                <w:color w:val="000000" w:themeColor="text1"/>
                                <w:sz w:val="22"/>
                                <w:szCs w:val="22"/>
                              </w:rPr>
                              <w:br/>
                            </w:r>
                          </w:p>
                          <w:p w14:paraId="768EB1DD" w14:textId="77777777" w:rsidR="005C2C59" w:rsidRPr="00646EE0" w:rsidRDefault="005C2C59" w:rsidP="005C2C59">
                            <w:pPr>
                              <w:jc w:val="center"/>
                              <w:rPr>
                                <w:rFonts w:ascii="Acumin Pro" w:eastAsia="PMingLiU" w:hAnsi="Acumin 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BCA9A5" id="Rectangle 1" o:spid="_x0000_s1026" style="position:absolute;margin-left:0;margin-top:6.45pt;width:462.45pt;height:12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" fillcolor="white [3201]" strokecolor="#a42f13 [3205]" strokeweight="2pt">
                <v:textbox>
                  <w:txbxContent>
                    <w:p w14:paraId="0C20BA58" w14:textId="5E997F55" w:rsidR="00A330D3" w:rsidRPr="00646EE0" w:rsidRDefault="00A330D3" w:rsidP="005C2C59">
                      <w:pPr>
                        <w:spacing w:after="180"/>
                        <w:rPr>
                          <w:rFonts w:ascii="Acumin Pro" w:eastAsia="PMingLiU" w:hAnsi="Acumin Pro"/>
                          <w:b/>
                          <w:bCs/>
                          <w:color w:val="000000" w:themeColor="text1"/>
                          <w:sz w:val="22"/>
                          <w:szCs w:val="22"/>
                        </w:rPr>
                      </w:pPr>
                      <w:r w:rsidRPr="00646EE0">
                        <w:rPr>
                          <w:rFonts w:ascii="Acumin Pro" w:eastAsia="PMingLiU" w:hAnsi="Acumin Pro"/>
                          <w:color w:val="000000" w:themeColor="text1"/>
                          <w:sz w:val="22"/>
                        </w:rPr>
                        <w:t>以下案例分析來自</w:t>
                      </w:r>
                      <w:hyperlink r:id="rId9" w:history="1">
                        <w:r w:rsidRPr="00646EE0">
                          <w:rPr>
                            <w:rStyle w:val="Hyperlink"/>
                            <w:rFonts w:ascii="Acumin Pro" w:eastAsia="PMingLiU" w:hAnsi="Acumin Pro"/>
                            <w:sz w:val="22"/>
                          </w:rPr>
                          <w:t>紐西蘭安全情報局｜『</w:t>
                        </w:r>
                        <w:r w:rsidRPr="00646EE0">
                          <w:rPr>
                            <w:rStyle w:val="Hyperlink"/>
                            <w:rFonts w:ascii="Acumin Pro" w:eastAsia="PMingLiU" w:hAnsi="Acumin Pro"/>
                            <w:sz w:val="22"/>
                          </w:rPr>
                          <w:t>2024</w:t>
                        </w:r>
                        <w:r w:rsidRPr="00646EE0">
                          <w:rPr>
                            <w:rStyle w:val="Hyperlink"/>
                            <w:rFonts w:ascii="Acumin Pro" w:eastAsia="PMingLiU" w:hAnsi="Acumin Pro"/>
                            <w:sz w:val="22"/>
                          </w:rPr>
                          <w:t>年安全威脅環境評估』報告</w:t>
                        </w:r>
                      </w:hyperlink>
                      <w:r w:rsidRPr="00646EE0">
                        <w:rPr>
                          <w:rFonts w:ascii="Acumin Pro" w:eastAsia="PMingLiU" w:hAnsi="Acumin Pro"/>
                          <w:color w:val="000000" w:themeColor="text1"/>
                          <w:sz w:val="22"/>
                        </w:rPr>
                        <w:t>。其中的「外國政府」是指</w:t>
                      </w:r>
                      <w:r w:rsidRPr="00646EE0">
                        <w:rPr>
                          <w:rFonts w:ascii="Acumin Pro" w:eastAsia="PMingLiU" w:hAnsi="Acumin Pro"/>
                          <w:b/>
                          <w:bCs/>
                          <w:color w:val="000000" w:themeColor="text1"/>
                          <w:sz w:val="22"/>
                          <w:szCs w:val="22"/>
                        </w:rPr>
                        <w:t>除紐西蘭以外的任何國家</w:t>
                      </w:r>
                      <w:r w:rsidRPr="00646EE0">
                        <w:rPr>
                          <w:rFonts w:ascii="Acumin Pro" w:eastAsia="PMingLiU" w:hAnsi="Acumin Pro"/>
                          <w:color w:val="000000" w:themeColor="text1"/>
                          <w:sz w:val="22"/>
                        </w:rPr>
                        <w:t>，此術語用於指代除紐西蘭以外的國家。</w:t>
                      </w:r>
                    </w:p>
                    <w:p w14:paraId="42E216BA" w14:textId="6B3CF197" w:rsidR="005C2C59" w:rsidRPr="00646EE0" w:rsidRDefault="005C2C59" w:rsidP="005C2C59">
                      <w:pPr>
                        <w:spacing w:after="180"/>
                        <w:rPr>
                          <w:rFonts w:ascii="Acumin Pro" w:eastAsia="PMingLiU" w:hAnsi="Acumin Pro"/>
                          <w:color w:val="000000" w:themeColor="text1"/>
                          <w:sz w:val="22"/>
                          <w:szCs w:val="22"/>
                        </w:rPr>
                      </w:pPr>
                      <w:r w:rsidRPr="00646EE0">
                        <w:rPr>
                          <w:rFonts w:ascii="Acumin Pro" w:eastAsia="PMingLiU" w:hAnsi="Acumin Pro"/>
                          <w:b/>
                          <w:color w:val="000000" w:themeColor="text1"/>
                          <w:sz w:val="22"/>
                        </w:rPr>
                        <w:t>紐西蘭安全情報局（</w:t>
                      </w:r>
                      <w:r w:rsidRPr="00646EE0">
                        <w:rPr>
                          <w:rFonts w:ascii="Acumin Pro" w:eastAsia="PMingLiU" w:hAnsi="Acumin Pro"/>
                          <w:b/>
                          <w:color w:val="000000" w:themeColor="text1"/>
                          <w:sz w:val="22"/>
                        </w:rPr>
                        <w:t>NZSIS</w:t>
                      </w:r>
                      <w:r w:rsidRPr="00646EE0">
                        <w:rPr>
                          <w:rFonts w:ascii="Acumin Pro" w:eastAsia="PMingLiU" w:hAnsi="Acumin Pro"/>
                          <w:b/>
                          <w:color w:val="000000" w:themeColor="text1"/>
                          <w:sz w:val="22"/>
                        </w:rPr>
                        <w:t>）將外國干預定義為</w:t>
                      </w:r>
                      <w:r w:rsidRPr="00646EE0">
                        <w:rPr>
                          <w:rFonts w:ascii="Acumin Pro" w:eastAsia="PMingLiU" w:hAnsi="Acumin Pro"/>
                          <w:color w:val="000000" w:themeColor="text1"/>
                          <w:sz w:val="22"/>
                        </w:rPr>
                        <w:t>外國政府（通常透過代理人）試圖以欺騙、貪腐或强制手段影響、破壞或顛覆紐西蘭國家利益的行為。正常的外交活動、遊說以及其他以真誠、公開方式擴大影響力的行為不屬於干預。</w:t>
                      </w:r>
                      <w:r w:rsidRPr="00646EE0">
                        <w:rPr>
                          <w:rFonts w:ascii="Acumin Pro" w:eastAsia="PMingLiU" w:hAnsi="Acumin Pro"/>
                          <w:color w:val="000000" w:themeColor="text1"/>
                          <w:sz w:val="22"/>
                          <w:szCs w:val="22"/>
                        </w:rPr>
                        <w:br/>
                      </w:r>
                    </w:p>
                    <w:p w14:paraId="768EB1DD" w14:textId="77777777" w:rsidR="005C2C59" w:rsidRPr="00646EE0" w:rsidRDefault="005C2C59" w:rsidP="005C2C59">
                      <w:pPr>
                        <w:jc w:val="center"/>
                        <w:rPr>
                          <w:rFonts w:ascii="Acumin Pro" w:eastAsia="PMingLiU" w:hAnsi="Acumin Pro"/>
                        </w:rPr>
                      </w:pPr>
                    </w:p>
                  </w:txbxContent>
                </v:textbox>
                <w10:wrap anchorx="margin"/>
              </v:rect>
            </w:pict>
          </mc:Fallback>
        </mc:AlternateContent>
      </w:r>
    </w:p>
    <w:p w14:paraId="1B543534" w14:textId="77777777" w:rsidR="005C2C59" w:rsidRPr="00646EE0" w:rsidRDefault="005C2C59" w:rsidP="00B83068">
      <w:pPr>
        <w:rPr>
          <w:rFonts w:ascii="Acumin Pro" w:eastAsia="PMingLiU" w:hAnsi="Acumin Pro"/>
        </w:rPr>
      </w:pPr>
    </w:p>
    <w:p w14:paraId="2BFFF6F6" w14:textId="77777777" w:rsidR="005C2C59" w:rsidRPr="00646EE0" w:rsidRDefault="005C2C59" w:rsidP="00B83068">
      <w:pPr>
        <w:rPr>
          <w:rFonts w:ascii="Acumin Pro" w:eastAsia="PMingLiU" w:hAnsi="Acumin Pro"/>
        </w:rPr>
      </w:pPr>
    </w:p>
    <w:p w14:paraId="6B6309BE" w14:textId="77777777" w:rsidR="005C2C59" w:rsidRPr="00646EE0" w:rsidRDefault="005C2C59" w:rsidP="00B83068">
      <w:pPr>
        <w:rPr>
          <w:rFonts w:ascii="Acumin Pro" w:eastAsia="PMingLiU" w:hAnsi="Acumin Pro"/>
        </w:rPr>
      </w:pPr>
    </w:p>
    <w:p w14:paraId="6133D367" w14:textId="5834F23E" w:rsidR="00D22C42" w:rsidRPr="00646EE0" w:rsidRDefault="00D22C42" w:rsidP="00B83068">
      <w:pPr>
        <w:rPr>
          <w:rFonts w:ascii="Acumin Pro" w:eastAsia="PMingLiU" w:hAnsi="Acumin Pro"/>
          <w:b/>
          <w:bCs/>
        </w:rPr>
      </w:pPr>
    </w:p>
    <w:p w14:paraId="0597762E" w14:textId="77777777" w:rsidR="002656E7" w:rsidRPr="00646EE0" w:rsidRDefault="002656E7" w:rsidP="002656E7">
      <w:pPr>
        <w:spacing w:before="0" w:after="0"/>
        <w:rPr>
          <w:rFonts w:ascii="Acumin Pro" w:eastAsia="PMingLiU" w:hAnsi="Acumin Pro"/>
          <w:b/>
          <w:bCs/>
        </w:rPr>
      </w:pPr>
    </w:p>
    <w:p w14:paraId="05591EC1" w14:textId="22B14457" w:rsidR="00AE478C" w:rsidRPr="00646EE0" w:rsidRDefault="00B83068" w:rsidP="00B83068">
      <w:pPr>
        <w:rPr>
          <w:rFonts w:ascii="Acumin Pro" w:eastAsia="PMingLiU" w:hAnsi="Acumin Pro"/>
        </w:rPr>
      </w:pPr>
      <w:r w:rsidRPr="00646EE0">
        <w:rPr>
          <w:rFonts w:ascii="Acumin Pro" w:eastAsia="PMingLiU" w:hAnsi="Acumin Pro"/>
          <w:b/>
        </w:rPr>
        <w:t>案例研究</w:t>
      </w:r>
      <w:r w:rsidRPr="00646EE0">
        <w:rPr>
          <w:rFonts w:ascii="Acumin Pro" w:eastAsia="PMingLiU" w:hAnsi="Acumin Pro"/>
          <w:b/>
        </w:rPr>
        <w:t xml:space="preserve"> 1</w:t>
      </w:r>
      <w:r w:rsidRPr="00646EE0">
        <w:rPr>
          <w:rFonts w:ascii="Acumin Pro" w:eastAsia="PMingLiU" w:hAnsi="Acumin Pro"/>
        </w:rPr>
        <w:br/>
        <w:t>2023</w:t>
      </w:r>
      <w:r w:rsidRPr="00646EE0">
        <w:rPr>
          <w:rFonts w:ascii="Acumin Pro" w:eastAsia="PMingLiU" w:hAnsi="Acumin Pro"/>
        </w:rPr>
        <w:t>年，某外國政府利用其在紐西蘭的聯絡人向當地議會施壓，提出如果議會同意限制某宗教團體的參與，則願意資助其某項社區活動。該外國政府希望讓人知道，該宗教團體在其本國被禁止並開展「違背該國僑民意願」的活動。</w:t>
      </w:r>
      <w:r w:rsidRPr="00646EE0">
        <w:rPr>
          <w:rFonts w:ascii="Acumin Pro" w:eastAsia="PMingLiU" w:hAnsi="Acumin Pro"/>
        </w:rPr>
        <w:br/>
      </w:r>
      <w:r w:rsidRPr="00646EE0">
        <w:rPr>
          <w:rFonts w:ascii="Acumin Pro" w:eastAsia="PMingLiU" w:hAnsi="Acumin Pro"/>
          <w:b/>
          <w:bCs/>
        </w:rPr>
        <w:br/>
      </w:r>
      <w:r w:rsidRPr="00646EE0">
        <w:rPr>
          <w:rFonts w:ascii="Acumin Pro" w:eastAsia="PMingLiU" w:hAnsi="Acumin Pro"/>
          <w:b/>
        </w:rPr>
        <w:t>案例研究</w:t>
      </w:r>
      <w:r w:rsidRPr="00646EE0">
        <w:rPr>
          <w:rFonts w:ascii="Acumin Pro" w:eastAsia="PMingLiU" w:hAnsi="Acumin Pro"/>
          <w:b/>
        </w:rPr>
        <w:t xml:space="preserve"> 2</w:t>
      </w:r>
      <w:r w:rsidRPr="00646EE0">
        <w:rPr>
          <w:rFonts w:ascii="Acumin Pro" w:eastAsia="PMingLiU" w:hAnsi="Acumin Pro"/>
          <w:b/>
          <w:bCs/>
        </w:rPr>
        <w:br/>
      </w:r>
      <w:r w:rsidRPr="00646EE0">
        <w:rPr>
          <w:rFonts w:ascii="Acumin Pro" w:eastAsia="PMingLiU" w:hAnsi="Acumin Pro"/>
        </w:rPr>
        <w:t>NZSIS</w:t>
      </w:r>
      <w:r w:rsidRPr="00646EE0">
        <w:rPr>
          <w:rFonts w:ascii="Acumin Pro" w:eastAsia="PMingLiU" w:hAnsi="Acumin Pro"/>
        </w:rPr>
        <w:t>獲悉，某外國政府的多名外交官和一些與該國僑民群體有關的紐西蘭學生團體建立了聯繫。這些外交官利用此機會試圖對團體成員施加影響，以確保當選的領導者在政治方面效忠該國政府。他們選擇隱瞞與學生團體的關係，從而避免被指控干涉學術界。他們的行爲就是外國干預的例子。他們試圖控制這些團體及其成員對該國的看法，並找出異見分子。</w:t>
      </w:r>
    </w:p>
    <w:p w14:paraId="7294F476" w14:textId="41754B1B" w:rsidR="004E192C" w:rsidRPr="00646EE0" w:rsidRDefault="004E192C" w:rsidP="00B83068">
      <w:pPr>
        <w:rPr>
          <w:rFonts w:ascii="Acumin Pro" w:eastAsia="PMingLiU" w:hAnsi="Acumin Pro"/>
        </w:rPr>
      </w:pPr>
      <w:r w:rsidRPr="00646EE0">
        <w:rPr>
          <w:rFonts w:ascii="Acumin Pro" w:eastAsia="PMingLiU" w:hAnsi="Acumin Pro"/>
          <w:b/>
        </w:rPr>
        <w:t>案例研究</w:t>
      </w:r>
      <w:r w:rsidRPr="00646EE0">
        <w:rPr>
          <w:rFonts w:ascii="Acumin Pro" w:eastAsia="PMingLiU" w:hAnsi="Acumin Pro"/>
          <w:b/>
        </w:rPr>
        <w:t xml:space="preserve"> 3</w:t>
      </w:r>
      <w:r w:rsidRPr="00646EE0">
        <w:rPr>
          <w:rFonts w:ascii="Acumin Pro" w:eastAsia="PMingLiU" w:hAnsi="Acumin Pro"/>
          <w:b/>
          <w:bCs/>
        </w:rPr>
        <w:br/>
      </w:r>
      <w:r w:rsidRPr="00646EE0">
        <w:rPr>
          <w:rFonts w:ascii="Acumin Pro" w:eastAsia="PMingLiU" w:hAnsi="Acumin Pro"/>
        </w:rPr>
        <w:t>少數外國政府會針對紐西蘭的特定社區收集其資料。這些國家通常會利用社區居民來監視身處紐西蘭的異見分子，並收集他們的個人資料。該資料可用於進行報復行動，例如取消簽證或針對其仍居住在該國境内的家屬採取行動。</w:t>
      </w:r>
      <w:r w:rsidRPr="00646EE0">
        <w:rPr>
          <w:rFonts w:ascii="Acumin Pro" w:eastAsia="PMingLiU" w:hAnsi="Acumin Pro"/>
        </w:rPr>
        <w:t>2023</w:t>
      </w:r>
      <w:r w:rsidRPr="00646EE0">
        <w:rPr>
          <w:rFonts w:ascii="Acumin Pro" w:eastAsia="PMingLiU" w:hAnsi="Acumin Pro"/>
        </w:rPr>
        <w:t>年，某外國政府拒絕了一名紐西蘭人回國探親之簽證申請，原因是申請人與該國不認可的社區團體有</w:t>
      </w:r>
      <w:r w:rsidR="00646EE0">
        <w:rPr>
          <w:rFonts w:ascii="Acumin Pro" w:eastAsia="PMingLiU" w:hAnsi="Acumin Pro"/>
          <w:lang w:val="en-US"/>
        </w:rPr>
        <w:br/>
      </w:r>
      <w:r w:rsidRPr="00646EE0">
        <w:rPr>
          <w:rFonts w:ascii="Acumin Pro" w:eastAsia="PMingLiU" w:hAnsi="Acumin Pro"/>
        </w:rPr>
        <w:t>聯繫。</w:t>
      </w:r>
      <w:r w:rsidRPr="00646EE0">
        <w:rPr>
          <w:rFonts w:ascii="Acumin Pro" w:eastAsia="PMingLiU" w:hAnsi="Acumin Pro"/>
        </w:rPr>
        <w:br/>
      </w:r>
    </w:p>
    <w:sectPr w:rsidR="004E192C" w:rsidRPr="00646EE0" w:rsidSect="00CF4BE3">
      <w:headerReference w:type="default" r:id="rId10"/>
      <w:footerReference w:type="default" r:id="rId11"/>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571B3" w14:textId="77777777" w:rsidR="00D84166" w:rsidRDefault="00D84166">
      <w:r>
        <w:separator/>
      </w:r>
    </w:p>
    <w:p w14:paraId="5027BE5D" w14:textId="77777777" w:rsidR="00D84166" w:rsidRDefault="00D84166"/>
    <w:p w14:paraId="1FBEC390" w14:textId="77777777" w:rsidR="00D84166" w:rsidRDefault="00D84166"/>
  </w:endnote>
  <w:endnote w:type="continuationSeparator" w:id="0">
    <w:p w14:paraId="5006191A" w14:textId="77777777" w:rsidR="00D84166" w:rsidRDefault="00D84166">
      <w:r>
        <w:continuationSeparator/>
      </w:r>
    </w:p>
    <w:p w14:paraId="14FDD915" w14:textId="77777777" w:rsidR="00D84166" w:rsidRDefault="00D84166"/>
    <w:p w14:paraId="697DBDEA" w14:textId="77777777" w:rsidR="00D84166" w:rsidRDefault="00D84166"/>
  </w:endnote>
  <w:endnote w:type="continuationNotice" w:id="1">
    <w:p w14:paraId="443A7601" w14:textId="77777777" w:rsidR="00D84166" w:rsidRDefault="00D8416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cumin Pro">
    <w:altName w:val="Calibri"/>
    <w:panose1 w:val="00000000000000000000"/>
    <w:charset w:val="4D"/>
    <w:family w:val="swiss"/>
    <w:notTrueType/>
    <w:pitch w:val="variable"/>
    <w:sig w:usb0="20000007" w:usb1="00000001" w:usb2="00000000" w:usb3="00000000" w:csb0="00000193"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E252A" w14:textId="3E4CC145" w:rsidR="008504D0" w:rsidRPr="00646EE0" w:rsidRDefault="00FF6737" w:rsidP="00FF6737">
    <w:pPr>
      <w:pStyle w:val="Footer"/>
      <w:tabs>
        <w:tab w:val="left" w:pos="2070"/>
        <w:tab w:val="right" w:pos="9071"/>
      </w:tabs>
      <w:ind w:right="-1"/>
      <w:rPr>
        <w:rFonts w:ascii="PMingLiU" w:eastAsia="PMingLiU" w:hAnsi="PMingLiU"/>
      </w:rPr>
    </w:pPr>
    <w:r w:rsidRPr="00646EE0">
      <w:rPr>
        <w:rFonts w:ascii="PMingLiU" w:eastAsia="PMingLiU" w:hAnsi="PMingLiU"/>
      </w:rPr>
      <w:tab/>
    </w:r>
    <w:r w:rsidR="006A482D" w:rsidRPr="00646EE0">
      <w:rPr>
        <w:rFonts w:ascii="PMingLiU" w:eastAsia="PMingLiU" w:hAnsi="PMingLiU"/>
      </w:rPr>
      <w:tab/>
    </w:r>
    <w:r w:rsidRPr="00646EE0">
      <w:rPr>
        <w:rFonts w:ascii="PMingLiU" w:eastAsia="PMingLiU" w:hAnsi="PMingLiU"/>
      </w:rPr>
      <w:t>第</w:t>
    </w:r>
    <w:r w:rsidR="008504D0" w:rsidRPr="00646EE0">
      <w:rPr>
        <w:rFonts w:ascii="PMingLiU" w:eastAsia="PMingLiU" w:hAnsi="PMingLiU"/>
      </w:rPr>
      <w:fldChar w:fldCharType="begin"/>
    </w:r>
    <w:r w:rsidR="008504D0" w:rsidRPr="00646EE0">
      <w:rPr>
        <w:rFonts w:ascii="PMingLiU" w:eastAsia="PMingLiU" w:hAnsi="PMingLiU"/>
      </w:rPr>
      <w:instrText xml:space="preserve"> PAGE  \* Arabic  \* MERGEFORMAT </w:instrText>
    </w:r>
    <w:r w:rsidR="008504D0" w:rsidRPr="00646EE0">
      <w:rPr>
        <w:rFonts w:ascii="PMingLiU" w:eastAsia="PMingLiU" w:hAnsi="PMingLiU"/>
      </w:rPr>
      <w:fldChar w:fldCharType="separate"/>
    </w:r>
    <w:r w:rsidRPr="00646EE0">
      <w:rPr>
        <w:rFonts w:ascii="PMingLiU" w:eastAsia="PMingLiU" w:hAnsi="PMingLiU"/>
      </w:rPr>
      <w:t>1</w:t>
    </w:r>
    <w:r w:rsidR="008504D0" w:rsidRPr="00646EE0">
      <w:rPr>
        <w:rFonts w:ascii="PMingLiU" w:eastAsia="PMingLiU" w:hAnsi="PMingLiU"/>
      </w:rPr>
      <w:fldChar w:fldCharType="end"/>
    </w:r>
    <w:r w:rsidRPr="00646EE0">
      <w:rPr>
        <w:rFonts w:ascii="PMingLiU" w:eastAsia="PMingLiU" w:hAnsi="PMingLiU"/>
      </w:rPr>
      <w:t>頁，共</w:t>
    </w:r>
    <w:r w:rsidR="00203300" w:rsidRPr="00646EE0">
      <w:rPr>
        <w:rFonts w:ascii="PMingLiU" w:eastAsia="PMingLiU" w:hAnsi="PMingLiU"/>
      </w:rPr>
      <w:fldChar w:fldCharType="begin"/>
    </w:r>
    <w:r w:rsidR="00203300" w:rsidRPr="00646EE0">
      <w:rPr>
        <w:rFonts w:ascii="PMingLiU" w:eastAsia="PMingLiU" w:hAnsi="PMingLiU"/>
      </w:rPr>
      <w:instrText xml:space="preserve"> NUMPAGES   \* MERGEFORMAT </w:instrText>
    </w:r>
    <w:r w:rsidR="00203300" w:rsidRPr="00646EE0">
      <w:rPr>
        <w:rFonts w:ascii="PMingLiU" w:eastAsia="PMingLiU" w:hAnsi="PMingLiU"/>
      </w:rPr>
      <w:fldChar w:fldCharType="separate"/>
    </w:r>
    <w:r w:rsidRPr="00646EE0">
      <w:rPr>
        <w:rFonts w:ascii="PMingLiU" w:eastAsia="PMingLiU" w:hAnsi="PMingLiU"/>
      </w:rPr>
      <w:t>1</w:t>
    </w:r>
    <w:r w:rsidR="00203300" w:rsidRPr="00646EE0">
      <w:rPr>
        <w:rFonts w:ascii="PMingLiU" w:eastAsia="PMingLiU" w:hAnsi="PMingLiU"/>
      </w:rPr>
      <w:fldChar w:fldCharType="end"/>
    </w:r>
    <w:r w:rsidRPr="00646EE0">
      <w:rPr>
        <w:rFonts w:ascii="PMingLiU" w:eastAsia="PMingLiU" w:hAnsi="PMingLiU"/>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D0C40" w14:textId="77777777" w:rsidR="00D84166" w:rsidRDefault="00D84166" w:rsidP="00FB1990">
      <w:pPr>
        <w:pStyle w:val="Spacer"/>
      </w:pPr>
      <w:r>
        <w:separator/>
      </w:r>
    </w:p>
    <w:p w14:paraId="790BAFA4" w14:textId="77777777" w:rsidR="00D84166" w:rsidRDefault="00D84166" w:rsidP="00FB1990">
      <w:pPr>
        <w:pStyle w:val="Spacer"/>
      </w:pPr>
    </w:p>
  </w:footnote>
  <w:footnote w:type="continuationSeparator" w:id="0">
    <w:p w14:paraId="4392FFFA" w14:textId="77777777" w:rsidR="00D84166" w:rsidRDefault="00D84166">
      <w:r>
        <w:continuationSeparator/>
      </w:r>
    </w:p>
    <w:p w14:paraId="7972F53B" w14:textId="77777777" w:rsidR="00D84166" w:rsidRDefault="00D84166"/>
    <w:p w14:paraId="4A36C95A" w14:textId="77777777" w:rsidR="00D84166" w:rsidRDefault="00D84166"/>
  </w:footnote>
  <w:footnote w:type="continuationNotice" w:id="1">
    <w:p w14:paraId="09587A09" w14:textId="77777777" w:rsidR="00D84166" w:rsidRDefault="00D8416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3A39E" w14:textId="4CBB5F05" w:rsidR="00B26986" w:rsidRDefault="00B26986" w:rsidP="00B26986">
    <w:pPr>
      <w:pStyle w:val="Header"/>
      <w:jc w:val="center"/>
    </w:pPr>
    <w:r>
      <w:rPr>
        <w:noProof/>
      </w:rPr>
      <w:drawing>
        <wp:inline distT="0" distB="0" distL="0" distR="0" wp14:anchorId="4B391038" wp14:editId="6730002B">
          <wp:extent cx="4762500" cy="952500"/>
          <wp:effectExtent l="0" t="0" r="0" b="0"/>
          <wp:docPr id="1190414824"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414824"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4762500" cy="952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eastAsia="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eastAsia="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eastAsia="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eastAsia="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eastAsia="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eastAsia="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FD40A31"/>
    <w:multiLevelType w:val="multilevel"/>
    <w:tmpl w:val="80BAD1D0"/>
    <w:lvl w:ilvl="0">
      <w:start w:val="1"/>
      <w:numFmt w:val="bullet"/>
      <w:pStyle w:val="Bullet"/>
      <w:lvlText w:val=""/>
      <w:lvlJc w:val="left"/>
      <w:pPr>
        <w:ind w:left="927" w:hanging="360"/>
      </w:pPr>
      <w:rPr>
        <w:rFonts w:ascii="Symbol" w:eastAsia="Symbol" w:hAnsi="Symbol" w:hint="default"/>
        <w:sz w:val="20"/>
      </w:rPr>
    </w:lvl>
    <w:lvl w:ilvl="1">
      <w:start w:val="1"/>
      <w:numFmt w:val="bullet"/>
      <w:pStyle w:val="Bulletlevel2"/>
      <w:lvlText w:val="○"/>
      <w:lvlJc w:val="left"/>
      <w:pPr>
        <w:ind w:left="1281" w:hanging="357"/>
      </w:pPr>
      <w:rPr>
        <w:rFonts w:ascii="Courier New" w:eastAsia="Courier New" w:hAnsi="Courier New" w:hint="default"/>
        <w:b/>
        <w:i w:val="0"/>
        <w:sz w:val="18"/>
      </w:rPr>
    </w:lvl>
    <w:lvl w:ilvl="2">
      <w:start w:val="1"/>
      <w:numFmt w:val="bullet"/>
      <w:pStyle w:val="Bulletlevel3"/>
      <w:lvlText w:val="-"/>
      <w:lvlJc w:val="left"/>
      <w:pPr>
        <w:ind w:left="1639" w:hanging="358"/>
      </w:pPr>
      <w:rPr>
        <w:rFonts w:ascii="Calibri" w:eastAsia="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9"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0" w15:restartNumberingAfterBreak="0">
    <w:nsid w:val="67532733"/>
    <w:multiLevelType w:val="multilevel"/>
    <w:tmpl w:val="D400BCB2"/>
    <w:lvl w:ilvl="0">
      <w:start w:val="1"/>
      <w:numFmt w:val="bullet"/>
      <w:pStyle w:val="Tablebullet"/>
      <w:lvlText w:val=""/>
      <w:lvlJc w:val="left"/>
      <w:pPr>
        <w:ind w:left="357" w:hanging="357"/>
      </w:pPr>
      <w:rPr>
        <w:rFonts w:ascii="Symbol" w:eastAsia="Symbol" w:hAnsi="Symbol" w:hint="default"/>
        <w:sz w:val="18"/>
      </w:rPr>
    </w:lvl>
    <w:lvl w:ilvl="1">
      <w:start w:val="1"/>
      <w:numFmt w:val="bullet"/>
      <w:pStyle w:val="Tablebulletlevel2"/>
      <w:lvlText w:val="○"/>
      <w:lvlJc w:val="left"/>
      <w:pPr>
        <w:ind w:left="714" w:hanging="357"/>
      </w:pPr>
      <w:rPr>
        <w:rFonts w:ascii="Courier New" w:eastAsia="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eastAsia="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1"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2"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3"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1923642910">
    <w:abstractNumId w:val="5"/>
  </w:num>
  <w:num w:numId="2" w16cid:durableId="224417333">
    <w:abstractNumId w:val="4"/>
  </w:num>
  <w:num w:numId="3" w16cid:durableId="1026442973">
    <w:abstractNumId w:val="3"/>
  </w:num>
  <w:num w:numId="4" w16cid:durableId="883492480">
    <w:abstractNumId w:val="2"/>
  </w:num>
  <w:num w:numId="5" w16cid:durableId="1948267049">
    <w:abstractNumId w:val="1"/>
  </w:num>
  <w:num w:numId="6" w16cid:durableId="388648053">
    <w:abstractNumId w:val="0"/>
  </w:num>
  <w:num w:numId="7" w16cid:durableId="1591498952">
    <w:abstractNumId w:val="16"/>
  </w:num>
  <w:num w:numId="8" w16cid:durableId="98138245">
    <w:abstractNumId w:val="17"/>
  </w:num>
  <w:num w:numId="9" w16cid:durableId="418869663">
    <w:abstractNumId w:val="14"/>
  </w:num>
  <w:num w:numId="10" w16cid:durableId="1764645647">
    <w:abstractNumId w:val="10"/>
  </w:num>
  <w:num w:numId="11" w16cid:durableId="1807314642">
    <w:abstractNumId w:val="18"/>
  </w:num>
  <w:num w:numId="12" w16cid:durableId="79256252">
    <w:abstractNumId w:val="20"/>
  </w:num>
  <w:num w:numId="13" w16cid:durableId="1008100640">
    <w:abstractNumId w:val="22"/>
  </w:num>
  <w:num w:numId="14" w16cid:durableId="2130472303">
    <w:abstractNumId w:val="7"/>
  </w:num>
  <w:num w:numId="15" w16cid:durableId="1054234639">
    <w:abstractNumId w:val="12"/>
  </w:num>
  <w:num w:numId="16" w16cid:durableId="1215582474">
    <w:abstractNumId w:val="23"/>
  </w:num>
  <w:num w:numId="17" w16cid:durableId="13116001">
    <w:abstractNumId w:val="21"/>
  </w:num>
  <w:num w:numId="18" w16cid:durableId="2008747252">
    <w:abstractNumId w:val="19"/>
  </w:num>
  <w:num w:numId="19" w16cid:durableId="940454154">
    <w:abstractNumId w:val="15"/>
  </w:num>
  <w:num w:numId="20" w16cid:durableId="748038801">
    <w:abstractNumId w:val="13"/>
  </w:num>
  <w:num w:numId="21" w16cid:durableId="1777670740">
    <w:abstractNumId w:val="9"/>
  </w:num>
  <w:num w:numId="22" w16cid:durableId="773130068">
    <w:abstractNumId w:val="6"/>
  </w:num>
  <w:num w:numId="23" w16cid:durableId="1417634632">
    <w:abstractNumId w:val="11"/>
  </w:num>
  <w:num w:numId="24" w16cid:durableId="755593290">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068"/>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107E"/>
    <w:rsid w:val="00063BB2"/>
    <w:rsid w:val="00065F18"/>
    <w:rsid w:val="00067005"/>
    <w:rsid w:val="00076035"/>
    <w:rsid w:val="00077013"/>
    <w:rsid w:val="00091C3A"/>
    <w:rsid w:val="00095B6D"/>
    <w:rsid w:val="000B4AA4"/>
    <w:rsid w:val="000D61F6"/>
    <w:rsid w:val="000E3240"/>
    <w:rsid w:val="000E677B"/>
    <w:rsid w:val="000F4ADF"/>
    <w:rsid w:val="000F61AF"/>
    <w:rsid w:val="0010171C"/>
    <w:rsid w:val="00102FAD"/>
    <w:rsid w:val="00107C69"/>
    <w:rsid w:val="00121870"/>
    <w:rsid w:val="00126FDE"/>
    <w:rsid w:val="0013703F"/>
    <w:rsid w:val="00140ED2"/>
    <w:rsid w:val="00143E7C"/>
    <w:rsid w:val="0014415C"/>
    <w:rsid w:val="0014565E"/>
    <w:rsid w:val="001536C9"/>
    <w:rsid w:val="0016433D"/>
    <w:rsid w:val="00184C0F"/>
    <w:rsid w:val="001A5C4F"/>
    <w:rsid w:val="001A5F55"/>
    <w:rsid w:val="001C0031"/>
    <w:rsid w:val="001C0C30"/>
    <w:rsid w:val="001D0111"/>
    <w:rsid w:val="001D7EAE"/>
    <w:rsid w:val="001E64FC"/>
    <w:rsid w:val="001F0724"/>
    <w:rsid w:val="002007DF"/>
    <w:rsid w:val="00203300"/>
    <w:rsid w:val="00205FE8"/>
    <w:rsid w:val="00206BA3"/>
    <w:rsid w:val="00215160"/>
    <w:rsid w:val="002224B4"/>
    <w:rsid w:val="00226D5E"/>
    <w:rsid w:val="00237A3D"/>
    <w:rsid w:val="00240E83"/>
    <w:rsid w:val="002502D1"/>
    <w:rsid w:val="00260A17"/>
    <w:rsid w:val="0026519D"/>
    <w:rsid w:val="002656E7"/>
    <w:rsid w:val="00270EEC"/>
    <w:rsid w:val="002777D8"/>
    <w:rsid w:val="002806A2"/>
    <w:rsid w:val="00297CC7"/>
    <w:rsid w:val="002A194F"/>
    <w:rsid w:val="002A4BD9"/>
    <w:rsid w:val="002A4FE7"/>
    <w:rsid w:val="002B1CEB"/>
    <w:rsid w:val="002D3125"/>
    <w:rsid w:val="002D4F42"/>
    <w:rsid w:val="002D7DCA"/>
    <w:rsid w:val="0030084C"/>
    <w:rsid w:val="003039E1"/>
    <w:rsid w:val="003129BA"/>
    <w:rsid w:val="003148FC"/>
    <w:rsid w:val="0032132E"/>
    <w:rsid w:val="00330820"/>
    <w:rsid w:val="0034605E"/>
    <w:rsid w:val="003465C8"/>
    <w:rsid w:val="0037016B"/>
    <w:rsid w:val="00370FC0"/>
    <w:rsid w:val="00373206"/>
    <w:rsid w:val="003737ED"/>
    <w:rsid w:val="00375B80"/>
    <w:rsid w:val="00377352"/>
    <w:rsid w:val="003A10DA"/>
    <w:rsid w:val="003A12C8"/>
    <w:rsid w:val="003A6FFE"/>
    <w:rsid w:val="003A7695"/>
    <w:rsid w:val="003B3A23"/>
    <w:rsid w:val="003B6592"/>
    <w:rsid w:val="003C772C"/>
    <w:rsid w:val="003E68E2"/>
    <w:rsid w:val="003F1F7B"/>
    <w:rsid w:val="003F2B58"/>
    <w:rsid w:val="003F5886"/>
    <w:rsid w:val="0040020C"/>
    <w:rsid w:val="00401CA0"/>
    <w:rsid w:val="0040700B"/>
    <w:rsid w:val="00407F54"/>
    <w:rsid w:val="00411341"/>
    <w:rsid w:val="00413966"/>
    <w:rsid w:val="00415015"/>
    <w:rsid w:val="00415CDB"/>
    <w:rsid w:val="00422FEA"/>
    <w:rsid w:val="004231DC"/>
    <w:rsid w:val="0042551E"/>
    <w:rsid w:val="00433AD8"/>
    <w:rsid w:val="00437A53"/>
    <w:rsid w:val="00442322"/>
    <w:rsid w:val="004552A0"/>
    <w:rsid w:val="00457E34"/>
    <w:rsid w:val="00460A83"/>
    <w:rsid w:val="00460B3F"/>
    <w:rsid w:val="00464752"/>
    <w:rsid w:val="00472A55"/>
    <w:rsid w:val="00476068"/>
    <w:rsid w:val="004763B3"/>
    <w:rsid w:val="00477619"/>
    <w:rsid w:val="00486E6E"/>
    <w:rsid w:val="004875DF"/>
    <w:rsid w:val="00487C1D"/>
    <w:rsid w:val="00494C6F"/>
    <w:rsid w:val="004A5823"/>
    <w:rsid w:val="004B0AAF"/>
    <w:rsid w:val="004B214C"/>
    <w:rsid w:val="004B3924"/>
    <w:rsid w:val="004C4DDD"/>
    <w:rsid w:val="004C5F40"/>
    <w:rsid w:val="004C6953"/>
    <w:rsid w:val="004C7001"/>
    <w:rsid w:val="004D1706"/>
    <w:rsid w:val="004D243F"/>
    <w:rsid w:val="004D7473"/>
    <w:rsid w:val="004E192C"/>
    <w:rsid w:val="004F2E8A"/>
    <w:rsid w:val="004F55E1"/>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7254"/>
    <w:rsid w:val="005C2C59"/>
    <w:rsid w:val="005D3066"/>
    <w:rsid w:val="005E4B13"/>
    <w:rsid w:val="005E4C02"/>
    <w:rsid w:val="005F01DF"/>
    <w:rsid w:val="005F76CC"/>
    <w:rsid w:val="005F7FF8"/>
    <w:rsid w:val="006004C4"/>
    <w:rsid w:val="00600CA4"/>
    <w:rsid w:val="00602416"/>
    <w:rsid w:val="006025CE"/>
    <w:rsid w:val="00603635"/>
    <w:rsid w:val="006041F2"/>
    <w:rsid w:val="006064F5"/>
    <w:rsid w:val="00617298"/>
    <w:rsid w:val="00620EF9"/>
    <w:rsid w:val="00637753"/>
    <w:rsid w:val="006452B8"/>
    <w:rsid w:val="00646EE0"/>
    <w:rsid w:val="00660CE4"/>
    <w:rsid w:val="00662716"/>
    <w:rsid w:val="00676C9F"/>
    <w:rsid w:val="00677B13"/>
    <w:rsid w:val="00677F4E"/>
    <w:rsid w:val="00677F8A"/>
    <w:rsid w:val="00681A08"/>
    <w:rsid w:val="00685ECF"/>
    <w:rsid w:val="006875B8"/>
    <w:rsid w:val="00687CEA"/>
    <w:rsid w:val="00690DDB"/>
    <w:rsid w:val="00694E01"/>
    <w:rsid w:val="00695171"/>
    <w:rsid w:val="00695B75"/>
    <w:rsid w:val="006A1A95"/>
    <w:rsid w:val="006A38B7"/>
    <w:rsid w:val="006A482D"/>
    <w:rsid w:val="006A5C31"/>
    <w:rsid w:val="006B1CB2"/>
    <w:rsid w:val="006B1DD1"/>
    <w:rsid w:val="006B3396"/>
    <w:rsid w:val="006B4FE7"/>
    <w:rsid w:val="006C195E"/>
    <w:rsid w:val="006D638F"/>
    <w:rsid w:val="006D7384"/>
    <w:rsid w:val="006E7BF7"/>
    <w:rsid w:val="00702F2C"/>
    <w:rsid w:val="007068C8"/>
    <w:rsid w:val="00715B8F"/>
    <w:rsid w:val="0073106E"/>
    <w:rsid w:val="00752E09"/>
    <w:rsid w:val="00755142"/>
    <w:rsid w:val="00756BB7"/>
    <w:rsid w:val="0075764B"/>
    <w:rsid w:val="00760C01"/>
    <w:rsid w:val="00761293"/>
    <w:rsid w:val="00767C04"/>
    <w:rsid w:val="007736A2"/>
    <w:rsid w:val="007A6226"/>
    <w:rsid w:val="007B3C61"/>
    <w:rsid w:val="007B6FCC"/>
    <w:rsid w:val="007D1918"/>
    <w:rsid w:val="007F03F2"/>
    <w:rsid w:val="008031DF"/>
    <w:rsid w:val="008065D7"/>
    <w:rsid w:val="008111A3"/>
    <w:rsid w:val="00816E30"/>
    <w:rsid w:val="0082264B"/>
    <w:rsid w:val="008275BE"/>
    <w:rsid w:val="0082765B"/>
    <w:rsid w:val="008352B1"/>
    <w:rsid w:val="008353E7"/>
    <w:rsid w:val="00835BD7"/>
    <w:rsid w:val="008428E8"/>
    <w:rsid w:val="00843D71"/>
    <w:rsid w:val="00846F11"/>
    <w:rsid w:val="0084745A"/>
    <w:rsid w:val="008504D0"/>
    <w:rsid w:val="00870045"/>
    <w:rsid w:val="00873FA6"/>
    <w:rsid w:val="00876E5F"/>
    <w:rsid w:val="00884A12"/>
    <w:rsid w:val="00890CE4"/>
    <w:rsid w:val="00891ED7"/>
    <w:rsid w:val="008A2618"/>
    <w:rsid w:val="008B7B54"/>
    <w:rsid w:val="008C0BC7"/>
    <w:rsid w:val="008C3187"/>
    <w:rsid w:val="008C5E4F"/>
    <w:rsid w:val="008C6F26"/>
    <w:rsid w:val="008D3367"/>
    <w:rsid w:val="008D63B7"/>
    <w:rsid w:val="008D6A03"/>
    <w:rsid w:val="008D6CA7"/>
    <w:rsid w:val="008E508C"/>
    <w:rsid w:val="008E7FEE"/>
    <w:rsid w:val="008F2F06"/>
    <w:rsid w:val="008F31F5"/>
    <w:rsid w:val="008F67F5"/>
    <w:rsid w:val="008F6BCE"/>
    <w:rsid w:val="00900D4B"/>
    <w:rsid w:val="00905F9B"/>
    <w:rsid w:val="00913E95"/>
    <w:rsid w:val="009170B9"/>
    <w:rsid w:val="00923A87"/>
    <w:rsid w:val="00927482"/>
    <w:rsid w:val="00936FF5"/>
    <w:rsid w:val="0094654B"/>
    <w:rsid w:val="00950338"/>
    <w:rsid w:val="0095112B"/>
    <w:rsid w:val="0095712A"/>
    <w:rsid w:val="00971879"/>
    <w:rsid w:val="00973A6D"/>
    <w:rsid w:val="009804E0"/>
    <w:rsid w:val="00983735"/>
    <w:rsid w:val="009865AA"/>
    <w:rsid w:val="00987080"/>
    <w:rsid w:val="0098765A"/>
    <w:rsid w:val="00987E5B"/>
    <w:rsid w:val="00991620"/>
    <w:rsid w:val="009968B0"/>
    <w:rsid w:val="009A6CB2"/>
    <w:rsid w:val="009A7F8E"/>
    <w:rsid w:val="009B0982"/>
    <w:rsid w:val="009B4C99"/>
    <w:rsid w:val="009C13FB"/>
    <w:rsid w:val="009D28CF"/>
    <w:rsid w:val="009E5D36"/>
    <w:rsid w:val="009E6375"/>
    <w:rsid w:val="009E7CA0"/>
    <w:rsid w:val="00A04392"/>
    <w:rsid w:val="00A069CE"/>
    <w:rsid w:val="00A109D8"/>
    <w:rsid w:val="00A16003"/>
    <w:rsid w:val="00A167D7"/>
    <w:rsid w:val="00A23D39"/>
    <w:rsid w:val="00A23EC2"/>
    <w:rsid w:val="00A24FBB"/>
    <w:rsid w:val="00A330D3"/>
    <w:rsid w:val="00A3453E"/>
    <w:rsid w:val="00A42ED2"/>
    <w:rsid w:val="00A44B33"/>
    <w:rsid w:val="00A50E00"/>
    <w:rsid w:val="00A52529"/>
    <w:rsid w:val="00A53624"/>
    <w:rsid w:val="00A55EAF"/>
    <w:rsid w:val="00A5766B"/>
    <w:rsid w:val="00A77512"/>
    <w:rsid w:val="00A863E3"/>
    <w:rsid w:val="00A94161"/>
    <w:rsid w:val="00A97BFB"/>
    <w:rsid w:val="00AB0BBC"/>
    <w:rsid w:val="00AB3A92"/>
    <w:rsid w:val="00AB478B"/>
    <w:rsid w:val="00AB47AC"/>
    <w:rsid w:val="00AB4AD9"/>
    <w:rsid w:val="00AD6E77"/>
    <w:rsid w:val="00AD7A25"/>
    <w:rsid w:val="00AE2666"/>
    <w:rsid w:val="00AE478C"/>
    <w:rsid w:val="00AF3A5A"/>
    <w:rsid w:val="00AF3E15"/>
    <w:rsid w:val="00AF5218"/>
    <w:rsid w:val="00AF60A0"/>
    <w:rsid w:val="00B01A6F"/>
    <w:rsid w:val="00B0480E"/>
    <w:rsid w:val="00B1026A"/>
    <w:rsid w:val="00B21166"/>
    <w:rsid w:val="00B263AE"/>
    <w:rsid w:val="00B26986"/>
    <w:rsid w:val="00B33A6C"/>
    <w:rsid w:val="00B42F17"/>
    <w:rsid w:val="00B43A02"/>
    <w:rsid w:val="00B47091"/>
    <w:rsid w:val="00B56534"/>
    <w:rsid w:val="00B57A21"/>
    <w:rsid w:val="00B612D4"/>
    <w:rsid w:val="00B62C3E"/>
    <w:rsid w:val="00B645DE"/>
    <w:rsid w:val="00B65857"/>
    <w:rsid w:val="00B66698"/>
    <w:rsid w:val="00B745DC"/>
    <w:rsid w:val="00B83068"/>
    <w:rsid w:val="00B84350"/>
    <w:rsid w:val="00B855A6"/>
    <w:rsid w:val="00B91098"/>
    <w:rsid w:val="00B91904"/>
    <w:rsid w:val="00B92735"/>
    <w:rsid w:val="00B969ED"/>
    <w:rsid w:val="00BA2EB6"/>
    <w:rsid w:val="00BA77F1"/>
    <w:rsid w:val="00BB0D90"/>
    <w:rsid w:val="00BB60C6"/>
    <w:rsid w:val="00BB7984"/>
    <w:rsid w:val="00BC45F7"/>
    <w:rsid w:val="00BC5776"/>
    <w:rsid w:val="00BC6A06"/>
    <w:rsid w:val="00BD137C"/>
    <w:rsid w:val="00BE3BC7"/>
    <w:rsid w:val="00BF1AB7"/>
    <w:rsid w:val="00BF7FE9"/>
    <w:rsid w:val="00C03596"/>
    <w:rsid w:val="00C05EEC"/>
    <w:rsid w:val="00C15A13"/>
    <w:rsid w:val="00C23084"/>
    <w:rsid w:val="00C238D9"/>
    <w:rsid w:val="00C24A9D"/>
    <w:rsid w:val="00C2677E"/>
    <w:rsid w:val="00C31542"/>
    <w:rsid w:val="00C32FD8"/>
    <w:rsid w:val="00C5028E"/>
    <w:rsid w:val="00C54E78"/>
    <w:rsid w:val="00C6078D"/>
    <w:rsid w:val="00C657CF"/>
    <w:rsid w:val="00C80D62"/>
    <w:rsid w:val="00C824CA"/>
    <w:rsid w:val="00C8388B"/>
    <w:rsid w:val="00C84944"/>
    <w:rsid w:val="00C90217"/>
    <w:rsid w:val="00C96BFD"/>
    <w:rsid w:val="00C96C98"/>
    <w:rsid w:val="00CA5358"/>
    <w:rsid w:val="00CA799B"/>
    <w:rsid w:val="00CB0B17"/>
    <w:rsid w:val="00CB1DCA"/>
    <w:rsid w:val="00CC2912"/>
    <w:rsid w:val="00CD502A"/>
    <w:rsid w:val="00CF12CF"/>
    <w:rsid w:val="00CF4BE3"/>
    <w:rsid w:val="00D060D2"/>
    <w:rsid w:val="00D13E2D"/>
    <w:rsid w:val="00D14394"/>
    <w:rsid w:val="00D22C42"/>
    <w:rsid w:val="00D242CD"/>
    <w:rsid w:val="00D26F74"/>
    <w:rsid w:val="00D341C3"/>
    <w:rsid w:val="00D42843"/>
    <w:rsid w:val="00D5152A"/>
    <w:rsid w:val="00D560EB"/>
    <w:rsid w:val="00D65145"/>
    <w:rsid w:val="00D73D87"/>
    <w:rsid w:val="00D74314"/>
    <w:rsid w:val="00D81410"/>
    <w:rsid w:val="00D84166"/>
    <w:rsid w:val="00D92505"/>
    <w:rsid w:val="00D9391A"/>
    <w:rsid w:val="00DA267C"/>
    <w:rsid w:val="00DA27B3"/>
    <w:rsid w:val="00DA5101"/>
    <w:rsid w:val="00DA79EF"/>
    <w:rsid w:val="00DB0C0B"/>
    <w:rsid w:val="00DB3B74"/>
    <w:rsid w:val="00DC5870"/>
    <w:rsid w:val="00DD0384"/>
    <w:rsid w:val="00DD0901"/>
    <w:rsid w:val="00DD4AB0"/>
    <w:rsid w:val="00DE16B6"/>
    <w:rsid w:val="00DE3323"/>
    <w:rsid w:val="00DE36CA"/>
    <w:rsid w:val="00DE7E63"/>
    <w:rsid w:val="00DF77A2"/>
    <w:rsid w:val="00E13F13"/>
    <w:rsid w:val="00E367C5"/>
    <w:rsid w:val="00E37E71"/>
    <w:rsid w:val="00E42486"/>
    <w:rsid w:val="00E42847"/>
    <w:rsid w:val="00E46064"/>
    <w:rsid w:val="00E604A1"/>
    <w:rsid w:val="00E7293C"/>
    <w:rsid w:val="00E73AA8"/>
    <w:rsid w:val="00E76812"/>
    <w:rsid w:val="00E80228"/>
    <w:rsid w:val="00E86D2A"/>
    <w:rsid w:val="00E8711A"/>
    <w:rsid w:val="00EA11A3"/>
    <w:rsid w:val="00EA2ED4"/>
    <w:rsid w:val="00EA491A"/>
    <w:rsid w:val="00EB1583"/>
    <w:rsid w:val="00EB54A9"/>
    <w:rsid w:val="00EC23FB"/>
    <w:rsid w:val="00EC7017"/>
    <w:rsid w:val="00ED4356"/>
    <w:rsid w:val="00ED7681"/>
    <w:rsid w:val="00EE2103"/>
    <w:rsid w:val="00EE243C"/>
    <w:rsid w:val="00EF63C6"/>
    <w:rsid w:val="00F034FB"/>
    <w:rsid w:val="00F05606"/>
    <w:rsid w:val="00F105F5"/>
    <w:rsid w:val="00F1075A"/>
    <w:rsid w:val="00F14CFC"/>
    <w:rsid w:val="00F22E82"/>
    <w:rsid w:val="00F2483A"/>
    <w:rsid w:val="00F337BF"/>
    <w:rsid w:val="00F33D14"/>
    <w:rsid w:val="00F473B6"/>
    <w:rsid w:val="00F52E57"/>
    <w:rsid w:val="00F53E06"/>
    <w:rsid w:val="00F54188"/>
    <w:rsid w:val="00F54CC0"/>
    <w:rsid w:val="00F727A5"/>
    <w:rsid w:val="00F82C41"/>
    <w:rsid w:val="00F847A9"/>
    <w:rsid w:val="00FA5FE9"/>
    <w:rsid w:val="00FA67D2"/>
    <w:rsid w:val="00FB1990"/>
    <w:rsid w:val="00FB302F"/>
    <w:rsid w:val="00FB5A92"/>
    <w:rsid w:val="00FC1C69"/>
    <w:rsid w:val="00FC3739"/>
    <w:rsid w:val="00FE0264"/>
    <w:rsid w:val="00FE5AD9"/>
    <w:rsid w:val="00FE7A33"/>
    <w:rsid w:val="00FE7EE8"/>
    <w:rsid w:val="00FF3414"/>
    <w:rsid w:val="00FF6737"/>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D28E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4"/>
        <w:szCs w:val="24"/>
        <w:lang w:val="en-NZ" w:eastAsia="zh-TW"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A55"/>
    <w:pPr>
      <w:keepLines/>
    </w:p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eastAsia="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eastAsia="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eastAsia="Courier New" w:hAnsi="Courier New" w:cs="Courier New"/>
      <w:sz w:val="20"/>
      <w:szCs w:val="20"/>
    </w:rPr>
  </w:style>
  <w:style w:type="paragraph" w:styleId="HTMLPreformatted">
    <w:name w:val="HTML Preformatted"/>
    <w:basedOn w:val="Normal"/>
    <w:uiPriority w:val="99"/>
    <w:semiHidden/>
    <w:rsid w:val="00065F18"/>
    <w:rPr>
      <w:rFonts w:ascii="Courier New" w:eastAsia="Courier New" w:hAnsi="Courier New" w:cs="Courier New"/>
      <w:sz w:val="20"/>
      <w:szCs w:val="20"/>
    </w:rPr>
  </w:style>
  <w:style w:type="character" w:styleId="HTMLSample">
    <w:name w:val="HTML Sample"/>
    <w:uiPriority w:val="99"/>
    <w:semiHidden/>
    <w:rsid w:val="00065F18"/>
    <w:rPr>
      <w:rFonts w:ascii="Courier New" w:eastAsia="Courier New" w:hAnsi="Courier New" w:cs="Courier New"/>
    </w:rPr>
  </w:style>
  <w:style w:type="character" w:styleId="HTMLTypewriter">
    <w:name w:val="HTML Typewriter"/>
    <w:uiPriority w:val="99"/>
    <w:semiHidden/>
    <w:rsid w:val="00065F18"/>
    <w:rPr>
      <w:rFonts w:ascii="Courier New" w:eastAsia="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eastAsia="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zh-TW"/>
    </w:rPr>
  </w:style>
  <w:style w:type="paragraph" w:styleId="PlainText">
    <w:name w:val="Plain Text"/>
    <w:basedOn w:val="Normal"/>
    <w:uiPriority w:val="99"/>
    <w:semiHidden/>
    <w:rsid w:val="00065F18"/>
    <w:rPr>
      <w:rFonts w:ascii="Courier New" w:eastAsia="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eastAsia="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zh-TW"/>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zh-TW"/>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zh-TW"/>
    </w:rPr>
  </w:style>
  <w:style w:type="paragraph" w:styleId="BalloonText">
    <w:name w:val="Balloon Text"/>
    <w:basedOn w:val="Normal"/>
    <w:uiPriority w:val="99"/>
    <w:semiHidden/>
    <w:rsid w:val="00065F18"/>
    <w:rPr>
      <w:rFonts w:ascii="Tahoma" w:eastAsia="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rPr>
  </w:style>
  <w:style w:type="table" w:customStyle="1" w:styleId="DIATable">
    <w:name w:val="_DIA Table"/>
    <w:basedOn w:val="TableNormal"/>
    <w:uiPriority w:val="99"/>
    <w:rsid w:val="00594AAA"/>
    <w:pPr>
      <w:spacing w:before="56" w:after="32"/>
    </w:pPr>
    <w:rPr>
      <w:rFonts w:cstheme="minorBidi"/>
      <w:sz w:val="22"/>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eastAsia="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zh-TW"/>
    </w:rPr>
  </w:style>
  <w:style w:type="character" w:styleId="SubtleReference">
    <w:name w:val="Subtle Reference"/>
    <w:basedOn w:val="DefaultParagraphFont"/>
    <w:uiPriority w:val="99"/>
    <w:semiHidden/>
    <w:qFormat/>
    <w:rsid w:val="00065F18"/>
    <w:rPr>
      <w:rFonts w:ascii="Calibri" w:eastAsia="Calibri" w:hAnsi="Calibri"/>
      <w:smallCaps/>
      <w:color w:val="A42F13" w:themeColor="accent2"/>
      <w:u w:val="single"/>
    </w:rPr>
  </w:style>
  <w:style w:type="character" w:styleId="BookTitle">
    <w:name w:val="Book Title"/>
    <w:basedOn w:val="DefaultParagraphFont"/>
    <w:uiPriority w:val="33"/>
    <w:semiHidden/>
    <w:qFormat/>
    <w:rsid w:val="00065F18"/>
    <w:rPr>
      <w:rFonts w:ascii="Calibri" w:eastAsia="Calibri" w:hAnsi="Calibri"/>
      <w:b/>
      <w:bCs/>
      <w:smallCaps/>
      <w:spacing w:val="5"/>
    </w:rPr>
  </w:style>
  <w:style w:type="character" w:styleId="IntenseReference">
    <w:name w:val="Intense Reference"/>
    <w:basedOn w:val="DefaultParagraphFont"/>
    <w:uiPriority w:val="99"/>
    <w:semiHidden/>
    <w:qFormat/>
    <w:rsid w:val="00065F18"/>
    <w:rPr>
      <w:rFonts w:ascii="Calibri" w:eastAsia="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eastAsia="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rPr>
  </w:style>
  <w:style w:type="character" w:customStyle="1" w:styleId="MacroTextChar">
    <w:name w:val="Macro Text Char"/>
    <w:basedOn w:val="DefaultParagraphFont"/>
    <w:link w:val="MacroText"/>
    <w:uiPriority w:val="99"/>
    <w:semiHidden/>
    <w:rsid w:val="00065F18"/>
    <w:rPr>
      <w:rFonts w:cs="Consolas"/>
      <w:lang w:eastAsia="zh-TW"/>
    </w:rPr>
  </w:style>
  <w:style w:type="character" w:styleId="CommentReference">
    <w:name w:val="annotation reference"/>
    <w:basedOn w:val="DefaultParagraphFont"/>
    <w:uiPriority w:val="99"/>
    <w:semiHidden/>
    <w:rsid w:val="00065F18"/>
    <w:rPr>
      <w:rFonts w:ascii="Calibri" w:eastAsia="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zh-TW"/>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zh-TW"/>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zh-TW"/>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zh-TW"/>
    </w:rPr>
  </w:style>
  <w:style w:type="character" w:customStyle="1" w:styleId="FooterChar">
    <w:name w:val="Footer Char"/>
    <w:basedOn w:val="DefaultParagraphFont"/>
    <w:link w:val="Footer"/>
    <w:rsid w:val="00065F18"/>
    <w:rPr>
      <w:rFonts w:eastAsiaTheme="minorHAnsi"/>
      <w:i/>
      <w:sz w:val="20"/>
      <w:lang w:eastAsia="zh-TW"/>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zh-TW"/>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B83068"/>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B83068"/>
    <w:rPr>
      <w:i/>
      <w:iCs/>
      <w:color w:val="404040" w:themeColor="text1" w:themeTint="BF"/>
      <w:lang w:eastAsia="zh-TW"/>
    </w:rPr>
  </w:style>
  <w:style w:type="character" w:styleId="UnresolvedMention">
    <w:name w:val="Unresolved Mention"/>
    <w:basedOn w:val="DefaultParagraphFont"/>
    <w:uiPriority w:val="99"/>
    <w:semiHidden/>
    <w:unhideWhenUsed/>
    <w:rsid w:val="00BA2E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8741923">
      <w:bodyDiv w:val="1"/>
      <w:marLeft w:val="0"/>
      <w:marRight w:val="0"/>
      <w:marTop w:val="0"/>
      <w:marBottom w:val="0"/>
      <w:divBdr>
        <w:top w:val="none" w:sz="0" w:space="0" w:color="auto"/>
        <w:left w:val="none" w:sz="0" w:space="0" w:color="auto"/>
        <w:bottom w:val="none" w:sz="0" w:space="0" w:color="auto"/>
        <w:right w:val="none" w:sz="0" w:space="0" w:color="auto"/>
      </w:divBdr>
    </w:div>
    <w:div w:id="147679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zsis.govt.nz/our-work/new-zealands-security-threat-environme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zsis.govt.nz/our-work/new-zealands-security-threat-environ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Cambria"/>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81AF6-D9AB-4406-996A-389CC2F4E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410</Characters>
  <Application>Microsoft Office Word</Application>
  <DocSecurity>0</DocSecurity>
  <Lines>3</Lines>
  <Paragraphs>1</Paragraphs>
  <ScaleCrop>false</ScaleCrop>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2024-11-28T08:55:00Z</dcterms:created>
  <dcterms:modified xsi:type="dcterms:W3CDTF">2024-12-16T22:41:00Z</dcterms:modified>
</cp:coreProperties>
</file>