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18158057"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 xml:space="preserve">Le gouvernement modifie la loi pour protéger la Nouvelle-Zélande contre les ingérences étrangères </w:t>
      </w:r>
    </w:p>
    <w:p w14:paraId="1EE3A517" w14:textId="0C88707D"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 xml:space="preserve">Vous pouvez donner votre avis sur les changements envisagés </w:t>
      </w:r>
      <w:r w:rsidR="006A3BD0" w:rsidRPr="006A3BD0">
        <w:rPr>
          <w:rFonts w:ascii="Acumin Pro" w:hAnsi="Acumin Pro"/>
          <w:b/>
          <w:bCs/>
          <w:sz w:val="28"/>
          <w:szCs w:val="28"/>
        </w:rPr>
        <w:br/>
      </w:r>
      <w:r>
        <w:rPr>
          <w:rFonts w:ascii="Acumin Pro" w:hAnsi="Acumin Pro"/>
          <w:sz w:val="28"/>
        </w:rPr>
        <w:t>Voici ce que fait le gouvernement et comment vous pouvez participer.</w:t>
      </w:r>
      <w:r w:rsidR="0063373B" w:rsidRPr="006A3BD0">
        <w:rPr>
          <w:rFonts w:ascii="Acumin Pro" w:hAnsi="Acumin Pro"/>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rial" w:hAnsi="Acumin Pro" w:cs="Arial"/>
          <w:b/>
          <w:bCs/>
          <w:sz w:val="26"/>
          <w:szCs w:val="26"/>
        </w:rPr>
      </w:pPr>
      <w:proofErr w:type="gramStart"/>
      <w:r>
        <w:rPr>
          <w:rFonts w:ascii="Acumin Pro" w:hAnsi="Acumin Pro"/>
          <w:b/>
          <w:sz w:val="26"/>
        </w:rPr>
        <w:t>Changement envisagés</w:t>
      </w:r>
      <w:proofErr w:type="gramEnd"/>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Le gouvernement renforce son arsenal juridique pour aider la police et les autres agences à réagir face aux ingérences étrangères. </w:t>
      </w:r>
    </w:p>
    <w:p w14:paraId="0AA48936" w14:textId="6530A2E6"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 xml:space="preserve">Ces changements sont introduits par le projet de loi </w:t>
      </w:r>
      <w:r w:rsidR="00170F21" w:rsidRPr="006A3BD0">
        <w:rPr>
          <w:rFonts w:ascii="Acumin Pro" w:hAnsi="Acumin Pro"/>
          <w:b/>
          <w:bCs/>
        </w:rPr>
        <w:t>Crimes (Countering Foreign Interference) Amendment Bill</w:t>
      </w:r>
      <w:r>
        <w:rPr>
          <w:rFonts w:ascii="Acumin Pro" w:hAnsi="Acumin Pro"/>
        </w:rPr>
        <w:t xml:space="preserve"> (projet de loi portant modification des crimes (lutte contre les ingérences étrangères).</w:t>
      </w:r>
    </w:p>
    <w:p w14:paraId="7BBE72E0" w14:textId="77F0756A" w:rsidR="006A3BD0" w:rsidRDefault="002B3633" w:rsidP="006A3BD0">
      <w:pPr>
        <w:pStyle w:val="ListBullet"/>
        <w:numPr>
          <w:ilvl w:val="0"/>
          <w:numId w:val="0"/>
        </w:numPr>
        <w:spacing w:after="240"/>
        <w:contextualSpacing w:val="0"/>
        <w:rPr>
          <w:rFonts w:ascii="Acumin Pro" w:hAnsi="Acumin Pro"/>
        </w:rPr>
      </w:pPr>
      <w:r>
        <w:rPr>
          <w:rFonts w:ascii="Acumin Pro" w:hAnsi="Acumin Pro"/>
        </w:rPr>
        <w:t>Le projet de loi est actuellement examiné par la Commission parlementaire sur la Justice. La Commission fera des recommandations sur la manière dont le projet de loi peut être amélioré avant qu</w:t>
      </w:r>
      <w:r w:rsidR="0038500E">
        <w:rPr>
          <w:rFonts w:ascii="Acumin Pro" w:hAnsi="Acumin Pro"/>
        </w:rPr>
        <w:t>’</w:t>
      </w:r>
      <w:r>
        <w:rPr>
          <w:rFonts w:ascii="Acumin Pro" w:hAnsi="Acumin Pro"/>
        </w:rPr>
        <w:t>il ne devienne loi.</w:t>
      </w:r>
    </w:p>
    <w:p w14:paraId="04815E26" w14:textId="77E81F7D" w:rsidR="002B3633" w:rsidRPr="006A3BD0" w:rsidRDefault="006A3BD0" w:rsidP="006A3BD0">
      <w:pPr>
        <w:pStyle w:val="ListBullet"/>
        <w:numPr>
          <w:ilvl w:val="0"/>
          <w:numId w:val="0"/>
        </w:numPr>
        <w:spacing w:after="240"/>
        <w:contextualSpacing w:val="0"/>
        <w:rPr>
          <w:rFonts w:ascii="Acumin Pro" w:hAnsi="Acumin Pro"/>
        </w:rPr>
      </w:pPr>
      <w:r w:rsidRPr="006A3BD0">
        <w:rPr>
          <w:rFonts w:ascii="Acumin Pro" w:hAnsi="Acumin Pro"/>
          <w:b/>
          <w:bCs/>
          <w:sz w:val="26"/>
          <w:szCs w:val="26"/>
        </w:rPr>
        <w:br/>
      </w:r>
      <w:r>
        <w:rPr>
          <w:rFonts w:ascii="Acumin Pro" w:hAnsi="Acumin Pro"/>
          <w:b/>
          <w:sz w:val="26"/>
        </w:rPr>
        <w:t>Qu</w:t>
      </w:r>
      <w:r w:rsidR="0038500E">
        <w:rPr>
          <w:rFonts w:ascii="Acumin Pro" w:hAnsi="Acumin Pro"/>
          <w:b/>
          <w:sz w:val="26"/>
        </w:rPr>
        <w:t>’</w:t>
      </w:r>
      <w:r>
        <w:rPr>
          <w:rFonts w:ascii="Acumin Pro" w:hAnsi="Acumin Pro"/>
          <w:b/>
          <w:sz w:val="26"/>
        </w:rPr>
        <w:t>est-ce qu</w:t>
      </w:r>
      <w:r w:rsidR="0038500E">
        <w:rPr>
          <w:rFonts w:ascii="Acumin Pro" w:hAnsi="Acumin Pro"/>
          <w:b/>
          <w:sz w:val="26"/>
        </w:rPr>
        <w:t>’</w:t>
      </w:r>
      <w:r>
        <w:rPr>
          <w:rFonts w:ascii="Acumin Pro" w:hAnsi="Acumin Pro"/>
          <w:b/>
          <w:sz w:val="26"/>
        </w:rPr>
        <w:t>une ingérence étrangère ?</w:t>
      </w:r>
    </w:p>
    <w:p w14:paraId="214DAFD9" w14:textId="50937E94" w:rsidR="00463A00" w:rsidRPr="006A3BD0" w:rsidRDefault="00463A00" w:rsidP="006A3BD0">
      <w:pPr>
        <w:pStyle w:val="ListBullet"/>
        <w:numPr>
          <w:ilvl w:val="0"/>
          <w:numId w:val="0"/>
        </w:numPr>
        <w:spacing w:after="160"/>
        <w:contextualSpacing w:val="0"/>
        <w:rPr>
          <w:rFonts w:ascii="Acumin Pro" w:hAnsi="Acumin Pro"/>
        </w:rPr>
      </w:pPr>
      <w:r>
        <w:rPr>
          <w:rFonts w:ascii="Acumin Pro" w:hAnsi="Acumin Pro"/>
        </w:rPr>
        <w:t>On parle d</w:t>
      </w:r>
      <w:r w:rsidR="0038500E">
        <w:rPr>
          <w:rFonts w:ascii="Acumin Pro" w:hAnsi="Acumin Pro"/>
        </w:rPr>
        <w:t>’</w:t>
      </w:r>
      <w:r>
        <w:rPr>
          <w:rFonts w:ascii="Acumin Pro" w:hAnsi="Acumin Pro"/>
        </w:rPr>
        <w:t>ingérence étrangère lorsqu</w:t>
      </w:r>
      <w:r w:rsidR="0038500E">
        <w:rPr>
          <w:rFonts w:ascii="Acumin Pro" w:hAnsi="Acumin Pro"/>
        </w:rPr>
        <w:t>’</w:t>
      </w:r>
      <w:r>
        <w:rPr>
          <w:rFonts w:ascii="Acumin Pro" w:hAnsi="Acumin Pro"/>
        </w:rPr>
        <w:t>un gouvernement étranger tente d</w:t>
      </w:r>
      <w:r w:rsidR="0038500E">
        <w:rPr>
          <w:rFonts w:ascii="Acumin Pro" w:hAnsi="Acumin Pro"/>
        </w:rPr>
        <w:t>’</w:t>
      </w:r>
      <w:r>
        <w:rPr>
          <w:rFonts w:ascii="Acumin Pro" w:hAnsi="Acumin Pro"/>
        </w:rPr>
        <w:t>interférer dans la société néo-zélandaise de manière secrète, coercitive ou malhonnête. De telles activités sont néfastes pour la Nouvelle-Zélande et ses communautés.</w:t>
      </w:r>
    </w:p>
    <w:p w14:paraId="4B02C244" w14:textId="164ACCE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Les ingérences étrangères peuvent affecter l</w:t>
      </w:r>
      <w:r w:rsidR="0038500E">
        <w:rPr>
          <w:rFonts w:ascii="Acumin Pro" w:hAnsi="Acumin Pro"/>
        </w:rPr>
        <w:t>’</w:t>
      </w:r>
      <w:r>
        <w:rPr>
          <w:rFonts w:ascii="Acumin Pro" w:hAnsi="Acumin Pro"/>
        </w:rPr>
        <w:t>ensemble du pays. Elles peuvent par exemple affecter la sécurité nationale, l</w:t>
      </w:r>
      <w:r w:rsidR="0038500E">
        <w:rPr>
          <w:rFonts w:ascii="Acumin Pro" w:hAnsi="Acumin Pro"/>
        </w:rPr>
        <w:t>’</w:t>
      </w:r>
      <w:r>
        <w:rPr>
          <w:rFonts w:ascii="Acumin Pro" w:hAnsi="Acumin Pro"/>
        </w:rPr>
        <w:t>économie, nos élections ou les décisions du gouvernement.</w:t>
      </w:r>
    </w:p>
    <w:p w14:paraId="289A720F" w14:textId="26024388" w:rsidR="00463A00" w:rsidRPr="006A3BD0" w:rsidRDefault="004029F8" w:rsidP="006A3BD0">
      <w:pPr>
        <w:pStyle w:val="ListBullet"/>
        <w:numPr>
          <w:ilvl w:val="0"/>
          <w:numId w:val="0"/>
        </w:numPr>
        <w:spacing w:after="160"/>
        <w:contextualSpacing w:val="0"/>
        <w:rPr>
          <w:rFonts w:ascii="Acumin Pro" w:hAnsi="Acumin Pro"/>
        </w:rPr>
      </w:pPr>
      <w:r>
        <w:rPr>
          <w:rFonts w:ascii="Acumin Pro" w:hAnsi="Acumin Pro"/>
        </w:rPr>
        <w:t xml:space="preserve">Les interférences peuvent également </w:t>
      </w:r>
      <w:proofErr w:type="gramStart"/>
      <w:r>
        <w:rPr>
          <w:rFonts w:ascii="Acumin Pro" w:hAnsi="Acumin Pro"/>
        </w:rPr>
        <w:t>avoir</w:t>
      </w:r>
      <w:proofErr w:type="gramEnd"/>
      <w:r>
        <w:rPr>
          <w:rFonts w:ascii="Acumin Pro" w:hAnsi="Acumin Pro"/>
        </w:rPr>
        <w:t xml:space="preserve"> des conséquences néfastes pour les individus et les communautés. Ces activités peuvent engendrer un sentiment d</w:t>
      </w:r>
      <w:r w:rsidR="0038500E">
        <w:rPr>
          <w:rFonts w:ascii="Acumin Pro" w:hAnsi="Acumin Pro"/>
        </w:rPr>
        <w:t>’</w:t>
      </w:r>
      <w:r>
        <w:rPr>
          <w:rFonts w:ascii="Acumin Pro" w:hAnsi="Acumin Pro"/>
        </w:rPr>
        <w:t>insécurité et limiter les activités ou la liberté d</w:t>
      </w:r>
      <w:r w:rsidR="0038500E">
        <w:rPr>
          <w:rFonts w:ascii="Acumin Pro" w:hAnsi="Acumin Pro"/>
        </w:rPr>
        <w:t>’</w:t>
      </w:r>
      <w:r>
        <w:rPr>
          <w:rFonts w:ascii="Acumin Pro" w:hAnsi="Acumin Pro"/>
        </w:rPr>
        <w:t>expression des personnes par peur de représailles par un gouvernement étranger. Cette situation n</w:t>
      </w:r>
      <w:r w:rsidR="0038500E">
        <w:rPr>
          <w:rFonts w:ascii="Acumin Pro" w:hAnsi="Acumin Pro"/>
        </w:rPr>
        <w:t>’</w:t>
      </w:r>
      <w:r>
        <w:rPr>
          <w:rFonts w:ascii="Acumin Pro" w:hAnsi="Acumin Pro"/>
        </w:rPr>
        <w:t>est pas acceptable, car nos lois confèrent des droits et des libertés aux citoyens, et les gouvernements étrangers n</w:t>
      </w:r>
      <w:r w:rsidR="0038500E">
        <w:rPr>
          <w:rFonts w:ascii="Acumin Pro" w:hAnsi="Acumin Pro"/>
        </w:rPr>
        <w:t>’</w:t>
      </w:r>
      <w:r>
        <w:rPr>
          <w:rFonts w:ascii="Acumin Pro" w:hAnsi="Acumin Pro"/>
        </w:rPr>
        <w:t>ont pas à essayer de contrôler les activités des personnes vivant sur notre sol.</w:t>
      </w:r>
      <w:r w:rsidR="0063373B" w:rsidRPr="006A3BD0">
        <w:rPr>
          <w:rFonts w:ascii="Acumin Pro" w:hAnsi="Acumin Pro"/>
        </w:rPr>
        <w:br/>
      </w:r>
      <w:r w:rsidR="006A3BD0" w:rsidRPr="006A3BD0">
        <w:rPr>
          <w:rFonts w:ascii="Acumin Pro" w:hAnsi="Acumin Pro"/>
        </w:rPr>
        <w:br/>
      </w:r>
    </w:p>
    <w:p w14:paraId="423F1651" w14:textId="77777777" w:rsidR="006A3BD0" w:rsidRDefault="006A3BD0" w:rsidP="006A3BD0">
      <w:pPr>
        <w:rPr>
          <w:rFonts w:ascii="Acumin Pro" w:eastAsia="Arial" w:hAnsi="Acumin Pro" w:cs="Arial"/>
          <w:b/>
          <w:bCs/>
          <w:sz w:val="26"/>
          <w:szCs w:val="26"/>
        </w:rPr>
      </w:pPr>
      <w:r>
        <w:rPr>
          <w:rFonts w:ascii="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Quelles sont les modifications apportées à la loi ?</w:t>
      </w:r>
      <w:bookmarkStart w:id="6" w:name="PaperTitle2"/>
      <w:bookmarkEnd w:id="0"/>
      <w:bookmarkEnd w:id="6"/>
    </w:p>
    <w:p w14:paraId="12ED600D" w14:textId="7750E2BD"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Les ingérences étrangères de quelque pays que ce soit dans les affaires de la Nouvelle-Zélande sont inacceptables.</w:t>
      </w:r>
    </w:p>
    <w:p w14:paraId="4D2263B1" w14:textId="250B8E83"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De nouvelles infractions rendront illégales les ingérences étrangères et d</w:t>
      </w:r>
      <w:r w:rsidR="0038500E">
        <w:rPr>
          <w:rFonts w:ascii="Acumin Pro" w:hAnsi="Acumin Pro"/>
        </w:rPr>
        <w:t>’</w:t>
      </w:r>
      <w:r>
        <w:rPr>
          <w:rFonts w:ascii="Acumin Pro" w:hAnsi="Acumin Pro"/>
        </w:rPr>
        <w:t xml:space="preserve">autres activités nuisibles. Ces infractions seront parmi les plus graves en Nouvelle-Zélande. Les infractions existantes sont également modifiées afin de mieux protéger les informations gouvernementales sensibles. </w:t>
      </w:r>
    </w:p>
    <w:p w14:paraId="459D0AAB" w14:textId="7D4EF82B"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Ces changements signifient que les personnes qui commettent des activités nuisibles pour un gouvernement étranger peuvent être arrêtées et punies en vertu de notre droit pénal.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Comment puis-je donner mon avis ?</w:t>
      </w:r>
    </w:p>
    <w:p w14:paraId="74C54DBD" w14:textId="651DFDCE"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La Commission parlementaire sur la Justice sollicite l</w:t>
      </w:r>
      <w:r w:rsidR="0038500E">
        <w:rPr>
          <w:rFonts w:ascii="Acumin Pro" w:hAnsi="Acumin Pro"/>
        </w:rPr>
        <w:t>’</w:t>
      </w:r>
      <w:r>
        <w:rPr>
          <w:rFonts w:ascii="Acumin Pro" w:hAnsi="Acumin Pro"/>
        </w:rPr>
        <w:t>opinion des membres du public et lance un appel à contributions sur le projet de loi. Cet appel est valable pour une durée déterminée pendant l</w:t>
      </w:r>
      <w:r w:rsidR="0038500E">
        <w:rPr>
          <w:rFonts w:ascii="Acumin Pro" w:hAnsi="Acumin Pro"/>
        </w:rPr>
        <w:t>’</w:t>
      </w:r>
      <w:r>
        <w:rPr>
          <w:rFonts w:ascii="Acumin Pro" w:hAnsi="Acumin Pro"/>
        </w:rPr>
        <w:t>examen du projet de loi par la Commission.</w:t>
      </w:r>
    </w:p>
    <w:p w14:paraId="40008A50" w14:textId="77777777" w:rsidR="003979D8" w:rsidRPr="00AC62AA" w:rsidRDefault="00B57313" w:rsidP="003979D8">
      <w:r>
        <w:rPr>
          <w:rFonts w:ascii="Acumin Pro" w:hAnsi="Acumin Pro"/>
        </w:rPr>
        <w:t>De plus amples informations sur le projet de loi et sur la manière d</w:t>
      </w:r>
      <w:r w:rsidR="0038500E">
        <w:rPr>
          <w:rFonts w:ascii="Acumin Pro" w:hAnsi="Acumin Pro"/>
        </w:rPr>
        <w:t>’</w:t>
      </w:r>
      <w:r>
        <w:rPr>
          <w:rFonts w:ascii="Acumin Pro" w:hAnsi="Acumin Pro"/>
        </w:rPr>
        <w:t xml:space="preserve">envoyer une contribution sont disponibles en ligne sur : </w:t>
      </w:r>
      <w:hyperlink r:id="rId8" w:history="1">
        <w:r w:rsidR="003979D8" w:rsidRPr="003979D8">
          <w:rPr>
            <w:rStyle w:val="Hyperlink"/>
            <w:rFonts w:asciiTheme="minorHAnsi" w:hAnsiTheme="minorHAnsi" w:cstheme="minorHAnsi"/>
          </w:rPr>
          <w:t>https://bills.parliament.nz/v/6/5c7f002d-e4b4-4573-5563-08dd042d0cd2?Tab=history</w:t>
        </w:r>
      </w:hyperlink>
    </w:p>
    <w:p w14:paraId="15324667" w14:textId="22CBA274" w:rsidR="00D575DB" w:rsidRPr="006A3BD0" w:rsidRDefault="00565980" w:rsidP="006A3BD0">
      <w:pPr>
        <w:pStyle w:val="ListBullet"/>
        <w:numPr>
          <w:ilvl w:val="0"/>
          <w:numId w:val="0"/>
        </w:numPr>
        <w:spacing w:after="160"/>
        <w:contextualSpacing w:val="0"/>
        <w:rPr>
          <w:rFonts w:ascii="Acumin Pro" w:hAnsi="Acumin Pro"/>
        </w:rPr>
      </w:pPr>
      <w:r>
        <w:rPr>
          <w:rFonts w:ascii="Acumin Pro" w:hAnsi="Acumin Pro"/>
        </w:rPr>
        <w:t xml:space="preserve">La </w:t>
      </w:r>
      <w:r w:rsidR="002F7DB3">
        <w:rPr>
          <w:rFonts w:ascii="Acumin Pro" w:hAnsi="Acumin Pro"/>
        </w:rPr>
        <w:t>C</w:t>
      </w:r>
      <w:r>
        <w:rPr>
          <w:rFonts w:ascii="Acumin Pro" w:hAnsi="Acumin Pro"/>
        </w:rPr>
        <w:t>ommission met normalement ses observations à la disposition du public sur le site Internet du Parlement. Avant d</w:t>
      </w:r>
      <w:r w:rsidR="0038500E">
        <w:rPr>
          <w:rFonts w:ascii="Acumin Pro" w:hAnsi="Acumin Pro"/>
        </w:rPr>
        <w:t>’</w:t>
      </w:r>
      <w:r>
        <w:rPr>
          <w:rFonts w:ascii="Acumin Pro" w:hAnsi="Acumin Pro"/>
        </w:rPr>
        <w:t>envoyer une contribution, vous pouvez demander à la Commission de la garder secrète si vous ne souhaitez pas qu</w:t>
      </w:r>
      <w:r w:rsidR="0038500E">
        <w:rPr>
          <w:rFonts w:ascii="Acumin Pro" w:hAnsi="Acumin Pro"/>
        </w:rPr>
        <w:t>’</w:t>
      </w:r>
      <w:r>
        <w:rPr>
          <w:rFonts w:ascii="Acumin Pro" w:hAnsi="Acumin Pro"/>
        </w:rPr>
        <w:t>elle soit rendue publique. La Commission doit donner son accord avant l</w:t>
      </w:r>
      <w:r w:rsidR="0038500E">
        <w:rPr>
          <w:rFonts w:ascii="Acumin Pro" w:hAnsi="Acumin Pro"/>
        </w:rPr>
        <w:t>’</w:t>
      </w:r>
      <w:r>
        <w:rPr>
          <w:rFonts w:ascii="Acumin Pro" w:hAnsi="Acumin Pro"/>
        </w:rPr>
        <w:t xml:space="preserve">envoi de votre contribution. </w:t>
      </w:r>
    </w:p>
    <w:p w14:paraId="3A698A77" w14:textId="77777777" w:rsidR="003979D8" w:rsidRPr="002B6E8B" w:rsidRDefault="00410744" w:rsidP="003979D8">
      <w:pPr>
        <w:keepLines/>
        <w:spacing w:before="120" w:after="240"/>
      </w:pPr>
      <w:r>
        <w:rPr>
          <w:rFonts w:ascii="Acumin Pro" w:hAnsi="Acumin Pro"/>
        </w:rPr>
        <w:t xml:space="preserve">Le site Internet du </w:t>
      </w:r>
      <w:r w:rsidR="002F7DB3">
        <w:rPr>
          <w:rFonts w:ascii="Acumin Pro" w:hAnsi="Acumin Pro"/>
        </w:rPr>
        <w:t>m</w:t>
      </w:r>
      <w:r>
        <w:rPr>
          <w:rFonts w:ascii="Acumin Pro" w:hAnsi="Acumin Pro"/>
        </w:rPr>
        <w:t xml:space="preserve">inistère de la Justice fournit également des informations sur les ingérences étrangères, le projet de loi et la manière dont vous pouvez signaler les ingérences étrangères aux pouvoirs publics. Vous trouverez ces informations dans la section « Countering Foreign Interference » (Lutte contre les ingérences étrangères) sur la page Key Initiatives du </w:t>
      </w:r>
      <w:r w:rsidR="00B61E3A">
        <w:rPr>
          <w:rFonts w:ascii="Acumin Pro" w:hAnsi="Acumin Pro"/>
        </w:rPr>
        <w:t>m</w:t>
      </w:r>
      <w:r>
        <w:rPr>
          <w:rFonts w:ascii="Acumin Pro" w:hAnsi="Acumin Pro"/>
        </w:rPr>
        <w:t>inistère</w:t>
      </w:r>
      <w:r w:rsidR="00B61E3A">
        <w:rPr>
          <w:rFonts w:ascii="Acumin Pro" w:hAnsi="Acumin Pro"/>
        </w:rPr>
        <w:t> </w:t>
      </w:r>
      <w:r>
        <w:rPr>
          <w:rFonts w:ascii="Acumin Pro" w:hAnsi="Acumin Pro"/>
        </w:rPr>
        <w:t xml:space="preserve">: </w:t>
      </w:r>
      <w:hyperlink r:id="rId9" w:tgtFrame="_blank" w:history="1">
        <w:r w:rsidR="003979D8" w:rsidRPr="003979D8">
          <w:rPr>
            <w:rStyle w:val="Hyperlink"/>
            <w:rFonts w:asciiTheme="minorHAnsi" w:hAnsiTheme="minorHAnsi" w:cstheme="minorHAnsi"/>
          </w:rPr>
          <w:t>https://www.justice.govt.nz/justice-sector-policy/key-initiatives/countering-foreign-interference</w:t>
        </w:r>
      </w:hyperlink>
    </w:p>
    <w:p w14:paraId="715F6350" w14:textId="7DF1D569" w:rsidR="00357DB0" w:rsidRPr="006A3BD0" w:rsidRDefault="00357DB0" w:rsidP="006A3BD0">
      <w:pPr>
        <w:pStyle w:val="ListBullet"/>
        <w:numPr>
          <w:ilvl w:val="0"/>
          <w:numId w:val="0"/>
        </w:numPr>
        <w:spacing w:after="0"/>
        <w:contextualSpacing w:val="0"/>
        <w:rPr>
          <w:rFonts w:ascii="Acumin Pro" w:hAnsi="Acumin Pro"/>
        </w:rPr>
      </w:pPr>
    </w:p>
    <w:p w14:paraId="45EFCD71" w14:textId="6BD2DF09" w:rsidR="009C20E9" w:rsidRPr="006A3BD0" w:rsidRDefault="009C20E9" w:rsidP="008B62E0">
      <w:pPr>
        <w:pStyle w:val="ListBullet"/>
        <w:numPr>
          <w:ilvl w:val="0"/>
          <w:numId w:val="0"/>
        </w:numPr>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2205F" w14:textId="77777777" w:rsidR="001F4054" w:rsidRDefault="001F4054" w:rsidP="00863861">
      <w:pPr>
        <w:spacing w:after="0" w:line="240" w:lineRule="auto"/>
      </w:pPr>
      <w:r>
        <w:separator/>
      </w:r>
    </w:p>
  </w:endnote>
  <w:endnote w:type="continuationSeparator" w:id="0">
    <w:p w14:paraId="30F6ACD1" w14:textId="77777777" w:rsidR="001F4054" w:rsidRDefault="001F4054" w:rsidP="00863861">
      <w:pPr>
        <w:spacing w:after="0" w:line="240" w:lineRule="auto"/>
      </w:pPr>
      <w:r>
        <w:continuationSeparator/>
      </w:r>
    </w:p>
  </w:endnote>
  <w:endnote w:type="continuationNotice" w:id="1">
    <w:p w14:paraId="6755A902" w14:textId="77777777" w:rsidR="001F4054" w:rsidRDefault="001F4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D3F" w14:textId="77777777" w:rsidR="001F4054" w:rsidRDefault="001F4054" w:rsidP="00863861">
      <w:pPr>
        <w:spacing w:after="0" w:line="240" w:lineRule="auto"/>
      </w:pPr>
      <w:r>
        <w:separator/>
      </w:r>
    </w:p>
  </w:footnote>
  <w:footnote w:type="continuationSeparator" w:id="0">
    <w:p w14:paraId="34E770C7" w14:textId="77777777" w:rsidR="001F4054" w:rsidRDefault="001F4054" w:rsidP="00863861">
      <w:pPr>
        <w:spacing w:after="0" w:line="240" w:lineRule="auto"/>
      </w:pPr>
      <w:r>
        <w:continuationSeparator/>
      </w:r>
    </w:p>
  </w:footnote>
  <w:footnote w:type="continuationNotice" w:id="1">
    <w:p w14:paraId="46F450DA" w14:textId="77777777" w:rsidR="001F4054" w:rsidRDefault="001F40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fr-FR" w:eastAsia="en-US" w:bidi="ar-SA"/>
      </w:rPr>
    </w:lvl>
    <w:lvl w:ilvl="1" w:tplc="31D4FFE0">
      <w:numFmt w:val="bullet"/>
      <w:lvlText w:val="•"/>
      <w:lvlJc w:val="left"/>
      <w:pPr>
        <w:ind w:left="1427" w:hanging="540"/>
      </w:pPr>
      <w:rPr>
        <w:rFonts w:hint="default"/>
        <w:lang w:val="fr-FR" w:eastAsia="en-US" w:bidi="ar-SA"/>
      </w:rPr>
    </w:lvl>
    <w:lvl w:ilvl="2" w:tplc="E2A2FEFE">
      <w:numFmt w:val="bullet"/>
      <w:lvlText w:val="•"/>
      <w:lvlJc w:val="left"/>
      <w:pPr>
        <w:ind w:left="2214" w:hanging="540"/>
      </w:pPr>
      <w:rPr>
        <w:rFonts w:hint="default"/>
        <w:lang w:val="fr-FR" w:eastAsia="en-US" w:bidi="ar-SA"/>
      </w:rPr>
    </w:lvl>
    <w:lvl w:ilvl="3" w:tplc="FCBC61EC">
      <w:numFmt w:val="bullet"/>
      <w:lvlText w:val="•"/>
      <w:lvlJc w:val="left"/>
      <w:pPr>
        <w:ind w:left="3001" w:hanging="540"/>
      </w:pPr>
      <w:rPr>
        <w:rFonts w:hint="default"/>
        <w:lang w:val="fr-FR" w:eastAsia="en-US" w:bidi="ar-SA"/>
      </w:rPr>
    </w:lvl>
    <w:lvl w:ilvl="4" w:tplc="0A5A7D30">
      <w:numFmt w:val="bullet"/>
      <w:lvlText w:val="•"/>
      <w:lvlJc w:val="left"/>
      <w:pPr>
        <w:ind w:left="3788" w:hanging="540"/>
      </w:pPr>
      <w:rPr>
        <w:rFonts w:hint="default"/>
        <w:lang w:val="fr-FR" w:eastAsia="en-US" w:bidi="ar-SA"/>
      </w:rPr>
    </w:lvl>
    <w:lvl w:ilvl="5" w:tplc="17A2EA92">
      <w:numFmt w:val="bullet"/>
      <w:lvlText w:val="•"/>
      <w:lvlJc w:val="left"/>
      <w:pPr>
        <w:ind w:left="4576" w:hanging="540"/>
      </w:pPr>
      <w:rPr>
        <w:rFonts w:hint="default"/>
        <w:lang w:val="fr-FR" w:eastAsia="en-US" w:bidi="ar-SA"/>
      </w:rPr>
    </w:lvl>
    <w:lvl w:ilvl="6" w:tplc="8384BF18">
      <w:numFmt w:val="bullet"/>
      <w:lvlText w:val="•"/>
      <w:lvlJc w:val="left"/>
      <w:pPr>
        <w:ind w:left="5363" w:hanging="540"/>
      </w:pPr>
      <w:rPr>
        <w:rFonts w:hint="default"/>
        <w:lang w:val="fr-FR" w:eastAsia="en-US" w:bidi="ar-SA"/>
      </w:rPr>
    </w:lvl>
    <w:lvl w:ilvl="7" w:tplc="7FB267F8">
      <w:numFmt w:val="bullet"/>
      <w:lvlText w:val="•"/>
      <w:lvlJc w:val="left"/>
      <w:pPr>
        <w:ind w:left="6150" w:hanging="540"/>
      </w:pPr>
      <w:rPr>
        <w:rFonts w:hint="default"/>
        <w:lang w:val="fr-FR" w:eastAsia="en-US" w:bidi="ar-SA"/>
      </w:rPr>
    </w:lvl>
    <w:lvl w:ilvl="8" w:tplc="2F7E4560">
      <w:numFmt w:val="bullet"/>
      <w:lvlText w:val="•"/>
      <w:lvlJc w:val="left"/>
      <w:pPr>
        <w:ind w:left="6937" w:hanging="540"/>
      </w:pPr>
      <w:rPr>
        <w:rFonts w:hint="default"/>
        <w:lang w:val="fr-FR"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fr-FR"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fr-F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1E1C"/>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90A"/>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2C1D"/>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054"/>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2F7DB3"/>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00E"/>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979D8"/>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BDB"/>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887"/>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A28"/>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5BE"/>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5CC"/>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351E"/>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EA5"/>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1E3A"/>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0F9"/>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2024-11-28T09:18:00Z</dcterms:created>
  <dcterms:modified xsi:type="dcterms:W3CDTF">2024-12-13T00:05:00Z</dcterms:modified>
</cp:coreProperties>
</file>