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32986" w14:textId="77777777" w:rsidR="000407C0" w:rsidRDefault="002E635A">
      <w:pPr>
        <w:rPr>
          <w:b/>
          <w:sz w:val="20"/>
          <w:szCs w:val="20"/>
        </w:rPr>
      </w:pPr>
      <w:r>
        <w:rPr>
          <w:b/>
          <w:sz w:val="20"/>
          <w:szCs w:val="20"/>
        </w:rPr>
        <w:t>Mantendo sua organização segura online</w:t>
      </w:r>
    </w:p>
    <w:p w14:paraId="767CA1FD" w14:textId="77777777" w:rsidR="000407C0" w:rsidRDefault="002E635A">
      <w:pPr>
        <w:rPr>
          <w:b/>
          <w:sz w:val="20"/>
          <w:szCs w:val="20"/>
        </w:rPr>
      </w:pPr>
      <w:r>
        <w:rPr>
          <w:b/>
          <w:sz w:val="20"/>
          <w:szCs w:val="20"/>
        </w:rPr>
        <w:t>Por que a segurança cibernética é importante para grupos comunitários e organizações?</w:t>
      </w:r>
    </w:p>
    <w:p w14:paraId="265F5C79" w14:textId="77777777" w:rsidR="000407C0" w:rsidRDefault="002E635A">
      <w:pPr>
        <w:rPr>
          <w:sz w:val="20"/>
          <w:szCs w:val="20"/>
        </w:rPr>
      </w:pPr>
      <w:r>
        <w:rPr>
          <w:sz w:val="20"/>
          <w:szCs w:val="20"/>
        </w:rPr>
        <w:t>Esta página contém conselhos e algumas medidas que você pode seguir para proteger seu grupo comunitário ou organização contra ameaças à segurança cibernética. Há também um guia separado para que as pessoas se mantenham seguras online.</w:t>
      </w:r>
    </w:p>
    <w:p w14:paraId="336B67A6" w14:textId="77777777" w:rsidR="000407C0" w:rsidRDefault="002E635A">
      <w:pPr>
        <w:rPr>
          <w:sz w:val="20"/>
          <w:szCs w:val="20"/>
        </w:rPr>
      </w:pPr>
      <w:r>
        <w:rPr>
          <w:sz w:val="20"/>
          <w:szCs w:val="20"/>
        </w:rPr>
        <w:t>Estes conselhos são baseados nas ameaças mais comuns e graves.</w:t>
      </w:r>
    </w:p>
    <w:p w14:paraId="3A740F0A" w14:textId="77777777" w:rsidR="000407C0" w:rsidRDefault="002E63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Atualizações – mantenha o software de seus dispositivos atualizado para corrigir quaisquer falhas na segurança. </w:t>
      </w:r>
    </w:p>
    <w:p w14:paraId="1171D444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Mantenha os dispositivos do seu grupo comunitário ou organização atualizados. Isso inclui telefones, computadores, roteadores de Wi-Fi e qualquer outro equipamento que se conecte à internet – incluindo dispositivos inteligentes.</w:t>
      </w:r>
    </w:p>
    <w:p w14:paraId="56E9022E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Habilite as atualizações automáticas sempre que possível.</w:t>
      </w:r>
    </w:p>
    <w:p w14:paraId="44057182" w14:textId="77777777" w:rsidR="000407C0" w:rsidRDefault="002E63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autenticação de dois fatores (2FA) – adiciona segurança extra às suas contas, exigindo uma etapa adicional além da senha, como um código de um aplicativo em seu telefone.</w:t>
      </w:r>
    </w:p>
    <w:p w14:paraId="1FE0570E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Nota: Isso também é chamado de autenticação multifator (MFA), verificação em duas etapas (2SV) entre outros nomes.</w:t>
      </w:r>
    </w:p>
    <w:p w14:paraId="7C786ADB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Ative o 2FA em todas as contas do seu grupo comunitário ou organização. </w:t>
      </w:r>
    </w:p>
    <w:p w14:paraId="32A84B4C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Se possível, tente usar uma forma de 2FA que seja resistente a phishing, para que você não seja enganado a fornecê-la. Pode ser uma chave de segurança física ou algo como uma impressão digital ou identificação facial.</w:t>
      </w:r>
    </w:p>
    <w:p w14:paraId="7D5D6046" w14:textId="77777777" w:rsidR="000407C0" w:rsidRDefault="002E63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Acompanhe suas contas online – certifique-se para que os antigos membros não mantenham acesso às contas após terem deixado o grupo comunitário ou organização.</w:t>
      </w:r>
    </w:p>
    <w:p w14:paraId="02434A14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Se houver mais de uma pessoa acessando a mesma conta, certifique-se para que todas possuam logins diferentes e que tenham o 2FA ativado.</w:t>
      </w:r>
    </w:p>
    <w:p w14:paraId="6A7DA36D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Mantenha uma lista de todas as contas de usuários e desative as que não são necessárias, como quando alguém da equipe deixa a organização.</w:t>
      </w:r>
    </w:p>
    <w:p w14:paraId="70F37559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Mantenha um registo de todos os dispositivos que tenham sido fornecidos aos seus membros e lembre-se de recuperá-los e de restaurá-los para as configurações de fábrica caso essa pessoa deixe a organização. Também pode ser necessário alterar códigos físicos de acesso ao edifício.</w:t>
      </w:r>
    </w:p>
    <w:p w14:paraId="46E9C5A0" w14:textId="77777777" w:rsidR="000407C0" w:rsidRDefault="002E63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Verifique quem tem acesso às suas contas online – as pessoas do seu grupo comunitário ou organização só devem ter acesso ao necessário. </w:t>
      </w:r>
    </w:p>
    <w:p w14:paraId="114F735A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 Se a conta de uma pessoa for hackeada, esses passos limitam os danos que um invasor pode causar.</w:t>
      </w:r>
    </w:p>
    <w:p w14:paraId="30091093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Verifique e remova regularmente as permissões desnecessárias. </w:t>
      </w:r>
    </w:p>
    <w:p w14:paraId="66CD98D0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Se uma única conta de "administrador" for usada por várias pessoas, monitore-a em busca de atividades incomuns. Tente limitar este tipo de contas, especialmente para tarefas diárias.</w:t>
      </w:r>
    </w:p>
    <w:p w14:paraId="786C535A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Essas regras também se aplicam ao acesso de administrador a dispositivos, como roteadores.</w:t>
      </w:r>
    </w:p>
    <w:p w14:paraId="6EC6A432" w14:textId="77777777" w:rsidR="000407C0" w:rsidRDefault="002E63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Revise seus contratos com provedores de serviços – caso tenha contratado alguém para executar serviços de TI. </w:t>
      </w:r>
    </w:p>
    <w:p w14:paraId="5595FFC8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Certifique-se de que eles possuem proteções de segurança cibernética em vigor para atender às necessidades do seu grupo comunitário ou organização.</w:t>
      </w:r>
    </w:p>
    <w:p w14:paraId="768291F7" w14:textId="77777777" w:rsidR="000407C0" w:rsidRDefault="002E63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Saiba como todas as suas contas e sistemas funcionam juntos – entender essas conexões ajuda a saber por onde um invasor pode ter acesso.</w:t>
      </w:r>
    </w:p>
    <w:p w14:paraId="0A26A9AB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Avalie as conexões entre seus sistemas, por exemplo, e-mail, armazenamento na nuvem e plataformas de contabilidade.</w:t>
      </w:r>
    </w:p>
    <w:p w14:paraId="0847BF32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Considere usar uma Rede Privada Virtual (VPN) para maior segurança online. O uso de uma VPN oculta suas atividades online de qualquer um que tente rastreá-lo. Essa é uma ótima opção, especialmente se algum membro do seu grupo comunitário ou organização estiver usando uma conexão remota.</w:t>
      </w:r>
    </w:p>
    <w:p w14:paraId="437E8BE0" w14:textId="77777777" w:rsidR="000407C0" w:rsidRDefault="002E63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Mantenha seu pessoal "ciberseguro" – pessoas são alvos mais comuns do que sistemas.</w:t>
      </w:r>
    </w:p>
    <w:p w14:paraId="68C8D861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Treine toda a equipe em segurança cibernética básica. O site Own Your Online </w:t>
      </w:r>
      <w:hyperlink r:id="rId8">
        <w:r>
          <w:rPr>
            <w:color w:val="467886"/>
            <w:sz w:val="20"/>
            <w:szCs w:val="20"/>
            <w:u w:val="single"/>
          </w:rPr>
          <w:t>Own Your Online | NCSC</w:t>
        </w:r>
      </w:hyperlink>
      <w:r>
        <w:rPr>
          <w:sz w:val="22"/>
          <w:szCs w:val="22"/>
        </w:rPr>
        <w:t xml:space="preserve"> tem</w:t>
      </w:r>
      <w:r>
        <w:rPr>
          <w:sz w:val="20"/>
          <w:szCs w:val="20"/>
        </w:rPr>
        <w:t xml:space="preserve"> uma variedade de conselhos e dicas para ajudá-lo a se manter seguro online e a identificar fraudes.</w:t>
      </w:r>
    </w:p>
    <w:p w14:paraId="7C21F06E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Lembre-os de que estas ações são importantes tanto para suas contas pessoais como para as usadas em sua organização. </w:t>
      </w:r>
    </w:p>
    <w:p w14:paraId="3D119B15" w14:textId="7456B666" w:rsidR="000407C0" w:rsidRDefault="002E635A">
      <w:pPr>
        <w:numPr>
          <w:ilvl w:val="1"/>
          <w:numId w:val="1"/>
        </w:numPr>
        <w:rPr>
          <w:sz w:val="20"/>
          <w:szCs w:val="20"/>
        </w:rPr>
      </w:pPr>
      <w:hyperlink r:id="rId9" w:history="1">
        <w:r w:rsidRPr="002E635A">
          <w:rPr>
            <w:rStyle w:val="Hyperlink"/>
            <w:sz w:val="20"/>
            <w:szCs w:val="20"/>
          </w:rPr>
          <w:t>Também temos um guia para que as pessoas se mantenham seguras online.</w:t>
        </w:r>
      </w:hyperlink>
      <w:r>
        <w:rPr>
          <w:sz w:val="20"/>
          <w:szCs w:val="20"/>
        </w:rPr>
        <w:t xml:space="preserve"> </w:t>
      </w:r>
    </w:p>
    <w:p w14:paraId="6777367D" w14:textId="77777777" w:rsidR="000407C0" w:rsidRDefault="002E63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 prepare para um incidente – ter um plano de resposta ativo é importante para evitar que as pessoas entrem em pânico quando um incidente acontecer.</w:t>
      </w:r>
    </w:p>
    <w:p w14:paraId="63724CA6" w14:textId="77777777" w:rsidR="000407C0" w:rsidRDefault="002E635A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Um plano de resposta determina quem é o responsável por cada ação no caso de um incidente. Há modelos disponíveis aqui </w:t>
      </w:r>
      <w:hyperlink r:id="rId10">
        <w:r>
          <w:rPr>
            <w:color w:val="467886"/>
            <w:sz w:val="20"/>
            <w:szCs w:val="20"/>
            <w:u w:val="single"/>
          </w:rPr>
          <w:t xml:space="preserve">Gestão de Incidentes </w:t>
        </w:r>
      </w:hyperlink>
      <w:hyperlink r:id="rId11">
        <w:r>
          <w:rPr>
            <w:rFonts w:ascii="Abadi Extra Light" w:eastAsia="Abadi Extra Light" w:hAnsi="Abadi Extra Light" w:cs="Abadi Extra Light"/>
            <w:color w:val="467886"/>
            <w:sz w:val="20"/>
            <w:szCs w:val="20"/>
            <w:u w:val="single"/>
          </w:rPr>
          <w:t>|</w:t>
        </w:r>
      </w:hyperlink>
      <w:hyperlink r:id="rId12">
        <w:r>
          <w:rPr>
            <w:color w:val="467886"/>
            <w:sz w:val="20"/>
            <w:szCs w:val="20"/>
            <w:u w:val="single"/>
          </w:rPr>
          <w:t>NCSC</w:t>
        </w:r>
      </w:hyperlink>
    </w:p>
    <w:p w14:paraId="32F36415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Inclua um plano sobre o que fazer caso telefones, computadores ou outros sistemas falhem. Mantenha este plano atualizado.</w:t>
      </w:r>
    </w:p>
    <w:p w14:paraId="3E53430F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Mantenha os dados de contato de todas as pessoas necessárias e informações alternativas de contato, caso o principal meio de comunicação com elas seja interrompido (como o e-mail). </w:t>
      </w:r>
    </w:p>
    <w:p w14:paraId="1B407097" w14:textId="77777777" w:rsidR="000407C0" w:rsidRDefault="002E635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Mantenha o plano em algum lugar fora do seu sistema também, caso você não consiga acessá-lo.</w:t>
      </w:r>
    </w:p>
    <w:sectPr w:rsidR="000407C0" w:rsidSect="002E635A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F2016" w14:textId="77777777" w:rsidR="002E635A" w:rsidRDefault="002E635A">
      <w:pPr>
        <w:spacing w:after="0" w:line="240" w:lineRule="auto"/>
      </w:pPr>
      <w:r>
        <w:separator/>
      </w:r>
    </w:p>
  </w:endnote>
  <w:endnote w:type="continuationSeparator" w:id="0">
    <w:p w14:paraId="517D6A27" w14:textId="77777777" w:rsidR="002E635A" w:rsidRDefault="002E6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ABDFFCB-888C-47B0-9BE4-B9389D793C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62626EE-B0D9-4E2D-BAB2-D18235CD5F17}"/>
    <w:embedBold r:id="rId3" w:fontKey="{AAF7625A-64A0-45F9-A16C-F31DD60B5E2B}"/>
    <w:embedItalic r:id="rId4" w:fontKey="{552B023D-BA9A-4587-8DBC-67FA5B449AA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4E5FDA3-9135-41B0-8B94-8D7212A2541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DD39B17-6DF7-4721-8479-A4AA7A6A24DF}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7" w:fontKey="{3712B333-1BDA-4852-95CA-F47D3764CD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1532F24-AF46-4476-8CCC-EE85AB46AD2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EBD13" w14:textId="77777777" w:rsidR="000407C0" w:rsidRDefault="002E63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A7C3C39" wp14:editId="1B1F405C">
              <wp:simplePos x="0" y="0"/>
              <wp:positionH relativeFrom="column">
                <wp:posOffset>1447800</wp:posOffset>
              </wp:positionH>
              <wp:positionV relativeFrom="paragraph">
                <wp:posOffset>0</wp:posOffset>
              </wp:positionV>
              <wp:extent cx="988060" cy="415290"/>
              <wp:effectExtent l="0" t="0" r="0" b="0"/>
              <wp:wrapNone/>
              <wp:docPr id="1742197821" name="Rectangle 1742197821" descr="[UNCLASSIFI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6733" y="3577118"/>
                        <a:ext cx="9785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99AB1" w14:textId="77777777" w:rsidR="000407C0" w:rsidRDefault="002E635A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[NÃO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CLASSIFICADO]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7C3C39" id="Rectangle 1742197821" o:spid="_x0000_s1027" alt="[UNCLASSIFIED]" style="position:absolute;margin-left:114pt;margin-top:0;width:77.8pt;height:32.7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" filled="f" stroked="f">
              <v:textbox inset="0,0,0,15pt">
                <w:txbxContent>
                  <w:p w14:paraId="4DA99AB1" w14:textId="77777777" w:rsidR="000407C0" w:rsidRDefault="002E635A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[NÃO </w:t>
                    </w:r>
                    <w:r>
                      <w:rPr>
                        <w:rFonts w:ascii="Calibri" w:eastAsia="Calibri" w:hAnsi="Calibri" w:cs="Calibri"/>
                        <w:color w:val="000000"/>
                      </w:rPr>
                      <w:t>CLASSIFICADO]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8C3A8" w14:textId="0CFB9191" w:rsidR="000407C0" w:rsidRDefault="002E63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71"/>
      </w:tabs>
      <w:spacing w:before="40" w:after="0"/>
      <w:rPr>
        <w:i/>
        <w:color w:val="000000"/>
        <w:sz w:val="20"/>
        <w:szCs w:val="20"/>
      </w:rPr>
    </w:pPr>
    <w:r>
      <w:rPr>
        <w:color w:val="000000"/>
      </w:rPr>
      <w:tab/>
    </w:r>
  </w:p>
  <w:p w14:paraId="24E6EAFC" w14:textId="77777777" w:rsidR="000407C0" w:rsidRDefault="000407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76455" w14:textId="5A29B46D" w:rsidR="000407C0" w:rsidRDefault="000407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3008A" w14:textId="77777777" w:rsidR="002E635A" w:rsidRDefault="002E635A">
      <w:pPr>
        <w:spacing w:after="0" w:line="240" w:lineRule="auto"/>
      </w:pPr>
      <w:r>
        <w:separator/>
      </w:r>
    </w:p>
  </w:footnote>
  <w:footnote w:type="continuationSeparator" w:id="0">
    <w:p w14:paraId="05E11E97" w14:textId="77777777" w:rsidR="002E635A" w:rsidRDefault="002E6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4FB36" w14:textId="77777777" w:rsidR="000407C0" w:rsidRDefault="002E63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21C3B2C" wp14:editId="4016EC8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88060" cy="415290"/>
              <wp:effectExtent l="0" t="0" r="0" b="0"/>
              <wp:wrapNone/>
              <wp:docPr id="1742197819" name="Rectangle 1742197819" descr="[UNCLASSIFI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6733" y="3577118"/>
                        <a:ext cx="9785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9FD1D1" w14:textId="77777777" w:rsidR="000407C0" w:rsidRDefault="002E635A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[NÃO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CLASSIFICADO]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1C3B2C" id="Rectangle 1742197819" o:spid="_x0000_s1026" alt="[UNCLASSIFIED]" style="position:absolute;margin-left:0;margin-top:0;width:77.8pt;height:32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" filled="f" stroked="f">
              <v:textbox inset="0,15pt,0,0">
                <w:txbxContent>
                  <w:p w14:paraId="629FD1D1" w14:textId="77777777" w:rsidR="000407C0" w:rsidRDefault="002E635A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[NÃO </w:t>
                    </w:r>
                    <w:r>
                      <w:rPr>
                        <w:rFonts w:ascii="Calibri" w:eastAsia="Calibri" w:hAnsi="Calibri" w:cs="Calibri"/>
                        <w:color w:val="000000"/>
                      </w:rPr>
                      <w:t>CLASSIFICADO]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9C6D5" w14:textId="18E9BDF9" w:rsidR="000407C0" w:rsidRPr="002E635A" w:rsidRDefault="002E63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lang w:val="en-NZ"/>
      </w:rPr>
    </w:pPr>
    <w:r w:rsidRPr="002E635A">
      <w:rPr>
        <w:color w:val="000000"/>
        <w:lang w:val="en-NZ"/>
      </w:rPr>
      <w:drawing>
        <wp:inline distT="0" distB="0" distL="0" distR="0" wp14:anchorId="684CD62B" wp14:editId="64FB7E9F">
          <wp:extent cx="5724525" cy="1143000"/>
          <wp:effectExtent l="0" t="0" r="0" b="0"/>
          <wp:docPr id="4564415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F5074"/>
    <w:multiLevelType w:val="multilevel"/>
    <w:tmpl w:val="5F1AD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226632"/>
    <w:multiLevelType w:val="multilevel"/>
    <w:tmpl w:val="8E8CF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6501D8"/>
    <w:multiLevelType w:val="multilevel"/>
    <w:tmpl w:val="F46C8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1517811">
    <w:abstractNumId w:val="1"/>
  </w:num>
  <w:num w:numId="2" w16cid:durableId="1773012962">
    <w:abstractNumId w:val="0"/>
  </w:num>
  <w:num w:numId="3" w16cid:durableId="1153646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7C0"/>
    <w:rsid w:val="000407C0"/>
    <w:rsid w:val="002E635A"/>
    <w:rsid w:val="0092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FBD0C"/>
  <w15:docId w15:val="{F816E96F-791E-440F-BB4D-2C0324B2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4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4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F4B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B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B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F4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B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4BAE"/>
    <w:rPr>
      <w:color w:val="467886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41468C"/>
    <w:pPr>
      <w:spacing w:line="240" w:lineRule="auto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8097F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71C40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7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E86"/>
  </w:style>
  <w:style w:type="paragraph" w:styleId="Footer">
    <w:name w:val="footer"/>
    <w:basedOn w:val="Normal"/>
    <w:link w:val="FooterChar"/>
    <w:unhideWhenUsed/>
    <w:rsid w:val="00F7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70E8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1FF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FF"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468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1468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68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806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64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wnyouronline.govt.nz/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csc.govt.nz/assets/NCSC-Documents/NCSC-Incident-Management-Be-Resilient-Be-Prepared.pdf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sc.govt.nz/assets/NCSC-Documents/NCSC-Incident-Management-Be-Resilient-Be-Prepared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ncsc.govt.nz/assets/NCSC-Documents/NCSC-Incident-Management-Be-Resilient-Be-Prepared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thniccommunities.govt.nz/resources/information-and-resources-in-other-languages/language-information/portuguese/keeping-safe-online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+M0jAahBDi2sJPCpFrM2aGwgFA==">CgMxLjA4AHIhMXk0Z3MzbFVyMlA5V1pONDEweThNZTA5VnUxVEJLWnAt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780</Words>
  <Characters>4450</Characters>
  <Application>Microsoft Office Word</Application>
  <DocSecurity>4</DocSecurity>
  <Lines>37</Lines>
  <Paragraphs>10</Paragraphs>
  <ScaleCrop>false</ScaleCrop>
  <Company>Te Tari Taiwhenua Department of Internal Affairs</Company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Hadyn Green</dc:creator>
  <cp:lastModifiedBy>Grace Chang</cp:lastModifiedBy>
  <cp:revision>2</cp:revision>
  <dcterms:created xsi:type="dcterms:W3CDTF">2025-01-29T00:35:00Z</dcterms:created>
  <dcterms:modified xsi:type="dcterms:W3CDTF">2025-01-29T00:35:00Z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67d7d439,5c0efdfa,4da05532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[UNCLASSIFIED]</vt:lpwstr>
  </property>
  <property fmtid="{D5CDD505-2E9C-101B-9397-08002B2CF9AE}" pid="5" name="ClassificationContentMarkingFooterShapeIds">
    <vt:lpwstr>41ea4057,dcc7b5f,7b4ee441</vt:lpwstr>
  </property>
  <property fmtid="{D5CDD505-2E9C-101B-9397-08002B2CF9AE}" pid="6" name="ClassificationContentMarkingFooterFontProps">
    <vt:lpwstr>#000000,12,Calibri</vt:lpwstr>
  </property>
  <property fmtid="{D5CDD505-2E9C-101B-9397-08002B2CF9AE}" pid="7" name="ClassificationContentMarkingFooterText">
    <vt:lpwstr>[UNCLASSIFIED]</vt:lpwstr>
  </property>
  <property fmtid="{D5CDD505-2E9C-101B-9397-08002B2CF9AE}" pid="8" name="ContentTypeId">
    <vt:lpwstr>0x0101000752A4926AAE744DAE78454B80393E0F010039E538DFBB65A24DA81D0F861475E4DA</vt:lpwstr>
  </property>
  <property fmtid="{D5CDD505-2E9C-101B-9397-08002B2CF9AE}" pid="9" name="Function">
    <vt:lpwstr/>
  </property>
  <property fmtid="{D5CDD505-2E9C-101B-9397-08002B2CF9AE}" pid="10" name="Agency">
    <vt:lpwstr>1;#GCSB|09def106-ecde-495e-9f59-1b35bfee9abd</vt:lpwstr>
  </property>
  <property fmtid="{D5CDD505-2E9C-101B-9397-08002B2CF9AE}" pid="11" name="_dlc_DocIdItemGuid">
    <vt:lpwstr>65e125d2-8829-467f-980c-5d2180570ccc</vt:lpwstr>
  </property>
  <property fmtid="{D5CDD505-2E9C-101B-9397-08002B2CF9AE}" pid="12" name="MediaServiceImageTags">
    <vt:lpwstr/>
  </property>
  <property fmtid="{D5CDD505-2E9C-101B-9397-08002B2CF9AE}" pid="13" name="lcf76f155ced4ddcb4097134ff3c332f">
    <vt:lpwstr/>
  </property>
  <property fmtid="{D5CDD505-2E9C-101B-9397-08002B2CF9AE}" pid="14" name="DIASecurityClassification">
    <vt:lpwstr>2;#UNCLASSIFIED|2c10f15e-4fe4-4bec-ae91-1116436da94b</vt:lpwstr>
  </property>
  <property fmtid="{D5CDD505-2E9C-101B-9397-08002B2CF9AE}" pid="15" name="TaxKeyword">
    <vt:lpwstr/>
  </property>
  <property fmtid="{D5CDD505-2E9C-101B-9397-08002B2CF9AE}" pid="16" name="d545d1b5010243bcae2cac870a559cbd">
    <vt:lpwstr/>
  </property>
  <property fmtid="{D5CDD505-2E9C-101B-9397-08002B2CF9AE}" pid="17" name="DIALegislation">
    <vt:lpwstr/>
  </property>
  <property fmtid="{D5CDD505-2E9C-101B-9397-08002B2CF9AE}" pid="18" name="a43c847a0bb444b9ba08276b667d1291">
    <vt:lpwstr/>
  </property>
  <property fmtid="{D5CDD505-2E9C-101B-9397-08002B2CF9AE}" pid="19" name="aa0293da76ee462da8ea97e7ed70c5ee">
    <vt:lpwstr/>
  </property>
  <property fmtid="{D5CDD505-2E9C-101B-9397-08002B2CF9AE}" pid="20" name="DIAReportDocumentType">
    <vt:lpwstr/>
  </property>
  <property fmtid="{D5CDD505-2E9C-101B-9397-08002B2CF9AE}" pid="21" name="fb4cec6bda93410d8ae43a0f8dc367a2">
    <vt:lpwstr/>
  </property>
  <property fmtid="{D5CDD505-2E9C-101B-9397-08002B2CF9AE}" pid="22" name="c4e02c960b5544139e8046d663add723">
    <vt:lpwstr/>
  </property>
  <property fmtid="{D5CDD505-2E9C-101B-9397-08002B2CF9AE}" pid="23" name="DIAEmailContentType">
    <vt:lpwstr/>
  </property>
  <property fmtid="{D5CDD505-2E9C-101B-9397-08002B2CF9AE}" pid="24" name="DIAMeetingDocumentType">
    <vt:lpwstr/>
  </property>
  <property fmtid="{D5CDD505-2E9C-101B-9397-08002B2CF9AE}" pid="25" name="DIAPortfolio">
    <vt:lpwstr/>
  </property>
  <property fmtid="{D5CDD505-2E9C-101B-9397-08002B2CF9AE}" pid="26" name="DIAOfficialEntity">
    <vt:lpwstr/>
  </property>
  <property fmtid="{D5CDD505-2E9C-101B-9397-08002B2CF9AE}" pid="27" name="DIAPlanningDocumentType">
    <vt:lpwstr/>
  </property>
  <property fmtid="{D5CDD505-2E9C-101B-9397-08002B2CF9AE}" pid="28" name="DIAAdministrationDocumentType">
    <vt:lpwstr>103;#Publication|e24bcdf8-4cf7-4893-8bd2-6bb61fc44292</vt:lpwstr>
  </property>
  <property fmtid="{D5CDD505-2E9C-101B-9397-08002B2CF9AE}" pid="29" name="e426f00ce1c04b36b10d4c3e43c2da46">
    <vt:lpwstr/>
  </property>
  <property fmtid="{D5CDD505-2E9C-101B-9397-08002B2CF9AE}" pid="30" name="DIAAnalysisDocumentType">
    <vt:lpwstr/>
  </property>
  <property fmtid="{D5CDD505-2E9C-101B-9397-08002B2CF9AE}" pid="31" name="n519a372ec7b434bb313ba820b4e8ea6">
    <vt:lpwstr/>
  </property>
  <property fmtid="{D5CDD505-2E9C-101B-9397-08002B2CF9AE}" pid="32" name="DIABriefingType">
    <vt:lpwstr/>
  </property>
  <property fmtid="{D5CDD505-2E9C-101B-9397-08002B2CF9AE}" pid="33" name="DIABriefingAudience">
    <vt:lpwstr/>
  </property>
  <property fmtid="{D5CDD505-2E9C-101B-9397-08002B2CF9AE}" pid="34" name="DIAAgreementType">
    <vt:lpwstr/>
  </property>
  <property fmtid="{D5CDD505-2E9C-101B-9397-08002B2CF9AE}" pid="35" name="C3Topic">
    <vt:lpwstr/>
  </property>
  <property fmtid="{D5CDD505-2E9C-101B-9397-08002B2CF9AE}" pid="36" name="f61444bc44204a64a934873ee4bc3140">
    <vt:lpwstr/>
  </property>
</Properties>
</file>