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37BE" w14:textId="741D9765" w:rsidR="0034605E" w:rsidRPr="00466007" w:rsidRDefault="00A330D3" w:rsidP="00B83068">
      <w:pPr>
        <w:rPr>
          <w:rFonts w:cs="Arial"/>
          <w:b/>
          <w:bCs/>
          <w:color w:val="1F546B" w:themeColor="text2"/>
          <w:kern w:val="32"/>
          <w:sz w:val="56"/>
          <w:szCs w:val="56"/>
        </w:rPr>
      </w:pPr>
      <w:r w:rsidRPr="00466007">
        <w:rPr>
          <w:b/>
          <w:color w:val="1F546B" w:themeColor="text2"/>
          <w:kern w:val="32"/>
          <w:sz w:val="56"/>
          <w:szCs w:val="56"/>
        </w:rPr>
        <w:t xml:space="preserve">กรณีศึกษาจากรายงานภัยคุกคามด้านความปลอดภัยประจำปี </w:t>
      </w:r>
      <w:r w:rsidRPr="00466007">
        <w:rPr>
          <w:b/>
          <w:color w:val="1F546B" w:themeColor="text2"/>
          <w:kern w:val="32"/>
          <w:sz w:val="52"/>
          <w:szCs w:val="52"/>
        </w:rPr>
        <w:t>2024</w:t>
      </w:r>
      <w:r w:rsidRPr="00466007">
        <w:rPr>
          <w:b/>
          <w:color w:val="1F546B" w:themeColor="text2"/>
          <w:kern w:val="32"/>
          <w:sz w:val="56"/>
          <w:szCs w:val="56"/>
        </w:rPr>
        <w:t xml:space="preserve"> ของหน่วยงานข่าวกรองความมั่นคงนิวซีแลนด์ </w:t>
      </w:r>
    </w:p>
    <w:p w14:paraId="341EE273" w14:textId="4D477768" w:rsidR="005C2C59" w:rsidRDefault="005C2C59" w:rsidP="00B83068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508E0EA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873262" cy="2638425"/>
                <wp:effectExtent l="0" t="0" r="13335" b="28575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2BEA58CA" w:rsidR="00A330D3" w:rsidRPr="00466007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กรณีศึกษาจาก</w:t>
                            </w:r>
                            <w:hyperlink r:id="rId8" w:history="1">
                              <w:r w:rsidRPr="0046600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รายงานภัยคุกคามด้านความปลอดภัยประจำปี 2024 ของหน่วยงานข่าวกรองความมั่นคงนิวซีแลนด์</w:t>
                              </w:r>
                            </w:hyperlink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กรณีศึกษาเหล่านี้ “รัฐต่างประเทศ” หมายถึง </w:t>
                            </w:r>
                            <w:r w:rsidRPr="00466007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ประเทศอื่นใดนอกเหนือจากนิวซีแลนด์</w:t>
                            </w: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คําจำกัดความนี้ใช้เพื่ออ้างถึงประเทศใดๆที่อยู่นอกนิวซีแลนด์</w:t>
                            </w:r>
                          </w:p>
                          <w:p w14:paraId="42E216BA" w14:textId="3A760664" w:rsidR="005C2C59" w:rsidRPr="00466007" w:rsidRDefault="005C2C59" w:rsidP="005C2C59">
                            <w:pPr>
                              <w:spacing w:after="18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6007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หน่วยข่าวกรองความมั่นคงนิวซีแลนด์ (NZSIS) ให้คำจำกัดความว่า </w:t>
                            </w: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การแทรกแซงจากรัฐต่างประเทศเป็นการกระทำโดยรัฐต่างประเทศซึ่งมักกระทำผ่านตัวแทนซึ่งมีจุดประสงค์เพื่ออิทธิพล ขัดขวาง หรือทำลายผลประโยชน์ของชาตินิวซีแลนด์ด้วยวิธีการหลอกลวง ทุจริต หรือบีบบังคับ กิจกรรมทางการทูตปกติธรรมดา การล็อบบี้ และพฤติการณ์ที่ไม่เสแสร้งและเปิดเผยอื่น ๆ เพื่อให้ได้มาซึ่งอิทธิพลไม่ถือว่าเป็นการแทรกแซง</w:t>
                            </w: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68EB1DD" w14:textId="77777777" w:rsidR="005C2C59" w:rsidRPr="00466007" w:rsidRDefault="005C2C59" w:rsidP="005C2C5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0;margin-top:.15pt;width:462.45pt;height:20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" fillcolor="white [3201]" strokecolor="#a42f13 [3205]" strokeweight="2pt">
                <v:textbox>
                  <w:txbxContent>
                    <w:p w14:paraId="0C20BA58" w14:textId="2BEA58CA" w:rsidR="00A330D3" w:rsidRPr="00466007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>กรณีศึกษาจาก</w:t>
                      </w:r>
                      <w:hyperlink r:id="rId9" w:history="1">
                        <w:r w:rsidRPr="00466007">
                          <w:rPr>
                            <w:rStyle w:val="Hyperlink"/>
                            <w:sz w:val="26"/>
                            <w:szCs w:val="26"/>
                          </w:rPr>
                          <w:t>รายงานภัยคุกคามด้านความปลอดภัยประจำปี 2024 ของหน่วยงานข่าวกรองความมั่นคงนิวซีแลนด์</w:t>
                        </w:r>
                      </w:hyperlink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กรณีศึกษาเหล่านี้ “รัฐต่างประเทศ” หมายถึง </w:t>
                      </w:r>
                      <w:r w:rsidRPr="00466007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ประเทศอื่นใดนอกเหนือจากนิวซีแลนด์</w:t>
                      </w: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คําจำกัดความนี้ใช้เพื่ออ้างถึงประเทศใดๆที่อยู่นอกนิวซีแลนด์</w:t>
                      </w:r>
                    </w:p>
                    <w:p w14:paraId="42E216BA" w14:textId="3A760664" w:rsidR="005C2C59" w:rsidRPr="00466007" w:rsidRDefault="005C2C59" w:rsidP="005C2C59">
                      <w:pPr>
                        <w:spacing w:after="18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66007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หน่วยข่าวกรองความมั่นคงนิวซีแลนด์ (NZSIS) ให้คำจำกัดความว่า </w:t>
                      </w: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>การแทรกแซงจากรัฐต่างประเทศเป็นการกระทำโดยรัฐต่างประเทศซึ่งมักกระทำผ่านตัวแทนซึ่งมีจุดประสงค์เพื่ออิทธิพล ขัดขวาง หรือทำลายผลประโยชน์ของชาตินิวซีแลนด์ด้วยวิธีการหลอกลวง ทุจริต หรือบีบบังคับ กิจกรรมทางการทูตปกติธรรมดา การล็อบบี้ และพฤติการณ์ที่ไม่เสแสร้งและเปิดเผยอื่น ๆ เพื่อให้ได้มาซึ่งอิทธิพลไม่ถือว่าเป็นการแทรกแซง</w:t>
                      </w: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768EB1DD" w14:textId="77777777" w:rsidR="005C2C59" w:rsidRPr="00466007" w:rsidRDefault="005C2C59" w:rsidP="005C2C5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B83068"/>
    <w:p w14:paraId="2BFFF6F6" w14:textId="77777777" w:rsidR="005C2C59" w:rsidRDefault="005C2C59" w:rsidP="00B83068"/>
    <w:p w14:paraId="6B6309BE" w14:textId="77777777" w:rsidR="005C2C59" w:rsidRDefault="005C2C59" w:rsidP="00B83068"/>
    <w:p w14:paraId="6133D367" w14:textId="5834F23E" w:rsidR="00D22C42" w:rsidRDefault="00D22C42" w:rsidP="00B83068">
      <w:pPr>
        <w:rPr>
          <w:b/>
          <w:bCs/>
        </w:rPr>
      </w:pPr>
    </w:p>
    <w:p w14:paraId="0597762E" w14:textId="77777777" w:rsidR="002656E7" w:rsidRDefault="002656E7" w:rsidP="002656E7">
      <w:pPr>
        <w:spacing w:before="0" w:after="0"/>
        <w:rPr>
          <w:b/>
          <w:bCs/>
        </w:rPr>
      </w:pPr>
    </w:p>
    <w:p w14:paraId="155DA321" w14:textId="77777777" w:rsidR="00466007" w:rsidRDefault="00466007" w:rsidP="00B83068">
      <w:pPr>
        <w:rPr>
          <w:rFonts w:cs="Angsana New"/>
          <w:b/>
          <w:szCs w:val="30"/>
          <w:cs/>
          <w:lang w:bidi="th-TH"/>
        </w:rPr>
      </w:pPr>
    </w:p>
    <w:p w14:paraId="05591EC1" w14:textId="6FA2D6D4" w:rsidR="00AE478C" w:rsidRPr="00466007" w:rsidRDefault="00B83068" w:rsidP="00B83068">
      <w:pPr>
        <w:rPr>
          <w:sz w:val="28"/>
          <w:szCs w:val="28"/>
        </w:rPr>
      </w:pPr>
      <w:r w:rsidRPr="00466007">
        <w:rPr>
          <w:b/>
          <w:sz w:val="28"/>
          <w:szCs w:val="28"/>
          <w:lang w:bidi="th-TH"/>
        </w:rPr>
        <w:lastRenderedPageBreak/>
        <w:t>กรณีศึกษาที่</w:t>
      </w:r>
      <w:r w:rsidRPr="00466007">
        <w:rPr>
          <w:b/>
          <w:sz w:val="28"/>
          <w:szCs w:val="28"/>
        </w:rPr>
        <w:t xml:space="preserve"> </w:t>
      </w:r>
      <w:r w:rsidRPr="00466007">
        <w:rPr>
          <w:b/>
        </w:rPr>
        <w:t>1</w:t>
      </w:r>
      <w:r w:rsidRPr="00466007">
        <w:rPr>
          <w:sz w:val="28"/>
          <w:szCs w:val="28"/>
        </w:rPr>
        <w:br/>
      </w:r>
      <w:r w:rsidRPr="00466007">
        <w:rPr>
          <w:sz w:val="28"/>
          <w:szCs w:val="28"/>
          <w:lang w:bidi="th-TH"/>
        </w:rPr>
        <w:t>ในปี</w:t>
      </w:r>
      <w:r w:rsidRPr="00466007">
        <w:rPr>
          <w:sz w:val="28"/>
          <w:szCs w:val="28"/>
        </w:rPr>
        <w:t xml:space="preserve"> </w:t>
      </w:r>
      <w:r w:rsidRPr="00466007">
        <w:t>2023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รัฐต่างประเทศได้สั่งให้สายในนิวซีแลนด์กดดันสภาท้องถิ่นโดยเสนอทุนสนับสนุนกิจกรรมของ</w:t>
      </w:r>
      <w:r w:rsidR="00715D19">
        <w:rPr>
          <w:sz w:val="28"/>
          <w:szCs w:val="28"/>
          <w:lang w:val="en-NZ"/>
        </w:rPr>
        <w:t xml:space="preserve"> </w:t>
      </w:r>
      <w:r w:rsidRPr="00466007">
        <w:rPr>
          <w:sz w:val="28"/>
          <w:szCs w:val="28"/>
          <w:lang w:bidi="th-TH"/>
        </w:rPr>
        <w:t>ชุมชนหากสภาฯตกลงที่จะจํากัดการมีส่วนร่วมของกลุ่มศาสนากลุ่มหนึ่ง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รัฐต่างประเทศมีเจตจำนงให้เป็นที่ทราบว่ากลุ่มดังกล่าวถูกห้ามในประเทศของตน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และดำเนินกิจกรรม</w:t>
      </w:r>
      <w:r w:rsidRPr="00466007">
        <w:rPr>
          <w:sz w:val="28"/>
          <w:szCs w:val="28"/>
        </w:rPr>
        <w:t xml:space="preserve"> "</w:t>
      </w:r>
      <w:r w:rsidRPr="00466007">
        <w:rPr>
          <w:sz w:val="28"/>
          <w:szCs w:val="28"/>
          <w:lang w:bidi="th-TH"/>
        </w:rPr>
        <w:t>ที่ขัดต่อเจตนารมณ์</w:t>
      </w:r>
      <w:r w:rsidRPr="00466007">
        <w:rPr>
          <w:sz w:val="28"/>
          <w:szCs w:val="28"/>
        </w:rPr>
        <w:t xml:space="preserve">" </w:t>
      </w:r>
      <w:r w:rsidRPr="00466007">
        <w:rPr>
          <w:sz w:val="28"/>
          <w:szCs w:val="28"/>
          <w:lang w:bidi="th-TH"/>
        </w:rPr>
        <w:t>ของประชาชนของรัฐที่พำนักในต่างแดน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br/>
      </w:r>
      <w:r w:rsidRPr="00466007">
        <w:rPr>
          <w:b/>
          <w:bCs/>
          <w:sz w:val="28"/>
          <w:szCs w:val="28"/>
        </w:rPr>
        <w:br/>
      </w:r>
      <w:r w:rsidRPr="00466007">
        <w:rPr>
          <w:b/>
          <w:sz w:val="28"/>
          <w:szCs w:val="28"/>
          <w:lang w:bidi="th-TH"/>
        </w:rPr>
        <w:t>กรณีศึกษาที่</w:t>
      </w:r>
      <w:r w:rsidRPr="00466007">
        <w:rPr>
          <w:b/>
          <w:sz w:val="28"/>
          <w:szCs w:val="28"/>
        </w:rPr>
        <w:t xml:space="preserve"> </w:t>
      </w:r>
      <w:r w:rsidRPr="00466007">
        <w:rPr>
          <w:b/>
        </w:rPr>
        <w:t>2</w:t>
      </w:r>
      <w:r w:rsidRPr="00466007">
        <w:rPr>
          <w:b/>
          <w:bCs/>
          <w:sz w:val="28"/>
          <w:szCs w:val="28"/>
        </w:rPr>
        <w:br/>
      </w:r>
      <w:r w:rsidRPr="00466007">
        <w:t>NZSIS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ตระหนักดีว่ามีนักการทูตหลายคน</w:t>
      </w:r>
      <w:r w:rsidR="000C0B4D">
        <w:rPr>
          <w:rFonts w:ascii="Browallia New" w:hAnsi="Browallia New" w:cs="Browallia New" w:hint="cs"/>
          <w:sz w:val="28"/>
          <w:szCs w:val="28"/>
          <w:cs/>
          <w:lang w:bidi="th-TH"/>
        </w:rPr>
        <w:t>ผู้</w:t>
      </w:r>
      <w:r w:rsidRPr="00466007">
        <w:rPr>
          <w:sz w:val="28"/>
          <w:szCs w:val="28"/>
          <w:lang w:bidi="th-TH"/>
        </w:rPr>
        <w:t>เป็นตัวแทน</w:t>
      </w:r>
      <w:r w:rsidR="000C0B4D" w:rsidRPr="000C0B4D">
        <w:rPr>
          <w:rFonts w:ascii="Browallia New" w:hAnsi="Browallia New" w:cs="Browallia New" w:hint="cs"/>
          <w:sz w:val="28"/>
          <w:szCs w:val="28"/>
          <w:cs/>
          <w:lang w:bidi="th-TH"/>
        </w:rPr>
        <w:t>ของ</w:t>
      </w:r>
      <w:r w:rsidRPr="00466007">
        <w:rPr>
          <w:sz w:val="28"/>
          <w:szCs w:val="28"/>
          <w:lang w:bidi="th-TH"/>
        </w:rPr>
        <w:t>รัฐ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ต่างประเทศ</w:t>
      </w:r>
      <w:r w:rsidR="000C0B4D">
        <w:rPr>
          <w:rFonts w:ascii="Browallia New" w:hAnsi="Browallia New" w:cs="Browallia New" w:hint="cs"/>
          <w:sz w:val="28"/>
          <w:szCs w:val="28"/>
          <w:cs/>
          <w:lang w:bidi="th-TH"/>
        </w:rPr>
        <w:t>ได้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รักษา</w:t>
      </w:r>
      <w:r w:rsidRPr="00466007">
        <w:rPr>
          <w:sz w:val="28"/>
          <w:szCs w:val="28"/>
          <w:lang w:bidi="th-TH"/>
        </w:rPr>
        <w:t>ความสัมพันธ์กับกลุ่ม</w:t>
      </w:r>
      <w:r w:rsidR="00466007">
        <w:rPr>
          <w:rFonts w:cs="Angsana New"/>
          <w:sz w:val="28"/>
          <w:szCs w:val="35"/>
          <w:cs/>
          <w:lang w:bidi="th-TH"/>
        </w:rPr>
        <w:br/>
      </w:r>
      <w:r w:rsidRPr="00466007">
        <w:rPr>
          <w:sz w:val="28"/>
          <w:szCs w:val="28"/>
          <w:lang w:bidi="th-TH"/>
        </w:rPr>
        <w:t>นักศึกษานิวซีแลนด์จำนวนหนึ่ง</w:t>
      </w:r>
      <w:r w:rsidR="000C0B4D" w:rsidRPr="000C0B4D">
        <w:rPr>
          <w:rFonts w:ascii="Browallia New" w:hAnsi="Browallia New" w:cs="Browallia New" w:hint="cs"/>
          <w:sz w:val="28"/>
          <w:szCs w:val="28"/>
          <w:cs/>
          <w:lang w:bidi="th-TH"/>
        </w:rPr>
        <w:t>ซึ่ง</w:t>
      </w:r>
      <w:r w:rsidRPr="00466007">
        <w:rPr>
          <w:sz w:val="28"/>
          <w:szCs w:val="28"/>
          <w:lang w:bidi="th-TH"/>
        </w:rPr>
        <w:t>เกี่ยวข้องกับประชาชนในต่างแดนของรัฐนั้น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นักการทูตได้ใช้การเข้าถึงนี้เพื่อมีอิทธิพลต่อสมาชิกกลุ่มโดยพยายามทำให้แน่ใจว่าผู้ที่ได้รับเลือกให้ดำรงตำแหน่งผู้นำ</w:t>
      </w:r>
      <w:r w:rsidR="00715D19">
        <w:rPr>
          <w:sz w:val="28"/>
          <w:szCs w:val="28"/>
          <w:lang w:val="en-NZ"/>
        </w:rPr>
        <w:t xml:space="preserve"> </w:t>
      </w:r>
      <w:r w:rsidRPr="00466007">
        <w:rPr>
          <w:sz w:val="28"/>
          <w:szCs w:val="28"/>
          <w:lang w:bidi="th-TH"/>
        </w:rPr>
        <w:t>นั้นมีความภักดีทางการเมืองต่อรัฐต่างประเทศ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คนเหล่านั้นเลือกที่จะปกปิดความสัมพันธ์กับกลุ่มนักศึกษาเพื่อหลีกเลี่ยง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คำครหา</w:t>
      </w:r>
      <w:r w:rsidR="000C0B4D" w:rsidRPr="000C0B4D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466007">
        <w:rPr>
          <w:sz w:val="28"/>
          <w:szCs w:val="28"/>
          <w:lang w:bidi="th-TH"/>
        </w:rPr>
        <w:t>การแทรกแซงในสังคมวิชาการ</w:t>
      </w:r>
      <w:r w:rsidRPr="00466007">
        <w:rPr>
          <w:sz w:val="28"/>
          <w:szCs w:val="28"/>
        </w:rPr>
        <w:t xml:space="preserve"> 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พฤติ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bidi="th-TH"/>
        </w:rPr>
        <w:t>กรรม</w:t>
      </w:r>
      <w:r w:rsidRPr="00466007">
        <w:rPr>
          <w:sz w:val="28"/>
          <w:szCs w:val="28"/>
          <w:lang w:bidi="th-TH"/>
        </w:rPr>
        <w:t>ลักษณะนี้เป็นตัวอย่างของการแทรกแซงจากรัฐต่างประเทศ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คนเหล่านั้นพยายามควบคุมวิธีที่กลุ่ม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bidi="th-TH"/>
        </w:rPr>
        <w:t>คน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เหล่านี้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bidi="th-TH"/>
        </w:rPr>
        <w:t>พร้อมด้วย</w:t>
      </w:r>
      <w:r w:rsidRPr="00466007">
        <w:rPr>
          <w:sz w:val="28"/>
          <w:szCs w:val="28"/>
          <w:lang w:bidi="th-TH"/>
        </w:rPr>
        <w:t>สมาชิกมองรัฐและมุ่งหวังที่จะระบุ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ตัว</w:t>
      </w:r>
      <w:r w:rsidR="00500032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ตน</w:t>
      </w:r>
      <w:r w:rsidRPr="00466007">
        <w:rPr>
          <w:sz w:val="28"/>
          <w:szCs w:val="28"/>
          <w:lang w:bidi="th-TH"/>
        </w:rPr>
        <w:t>ผู้เห็นต่าง</w:t>
      </w:r>
    </w:p>
    <w:p w14:paraId="7294F476" w14:textId="79EF777D" w:rsidR="004E192C" w:rsidRPr="00466007" w:rsidRDefault="004E192C" w:rsidP="00B83068">
      <w:pPr>
        <w:rPr>
          <w:sz w:val="28"/>
          <w:szCs w:val="28"/>
        </w:rPr>
      </w:pPr>
      <w:r w:rsidRPr="00466007">
        <w:rPr>
          <w:b/>
          <w:sz w:val="28"/>
          <w:szCs w:val="28"/>
          <w:lang w:bidi="th-TH"/>
        </w:rPr>
        <w:t>กรณีศึกษาที่</w:t>
      </w:r>
      <w:r w:rsidRPr="00466007">
        <w:rPr>
          <w:b/>
          <w:sz w:val="28"/>
          <w:szCs w:val="28"/>
        </w:rPr>
        <w:t xml:space="preserve"> </w:t>
      </w:r>
      <w:r w:rsidRPr="00466007">
        <w:rPr>
          <w:b/>
        </w:rPr>
        <w:t>3</w:t>
      </w:r>
      <w:r w:rsidRPr="00466007">
        <w:rPr>
          <w:b/>
          <w:bCs/>
          <w:sz w:val="28"/>
          <w:szCs w:val="28"/>
        </w:rPr>
        <w:br/>
      </w:r>
      <w:r w:rsidRPr="00466007">
        <w:rPr>
          <w:sz w:val="28"/>
          <w:szCs w:val="28"/>
          <w:lang w:bidi="th-TH"/>
        </w:rPr>
        <w:t>รัฐต่างประเทศจำนวนน้อยรวบรวมข้อมูลเกี่ยวกับชุมชนเฉพาะในนิวซีแลนด์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หลายคราที่รัฐเหล่านี้จะใช้สมาชิกชุมชนเพื่อติดตามบุคคลที่รัฐต่างประเทศมองว่าเป็นผู้เห็นต่างในนิวซีแลนด์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และรวบรวมรายละเอียดส่วนบุคคลเกี่ยวกับคนเหล่านี้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ข้อมูล</w:t>
      </w:r>
      <w:r w:rsidR="00D365DB" w:rsidRPr="00D365DB">
        <w:rPr>
          <w:rFonts w:ascii="Browallia New" w:hAnsi="Browallia New" w:cs="Browallia New" w:hint="cs"/>
          <w:sz w:val="28"/>
          <w:szCs w:val="28"/>
          <w:cs/>
          <w:lang w:bidi="th-TH"/>
        </w:rPr>
        <w:t>ดังกล่าว</w:t>
      </w:r>
      <w:r w:rsidRPr="00466007">
        <w:rPr>
          <w:sz w:val="28"/>
          <w:szCs w:val="28"/>
          <w:lang w:bidi="th-TH"/>
        </w:rPr>
        <w:t>อา</w:t>
      </w:r>
      <w:r w:rsidRPr="00D365DB">
        <w:rPr>
          <w:rFonts w:ascii="Browallia New" w:hAnsi="Browallia New" w:cs="Browallia New"/>
          <w:sz w:val="28"/>
          <w:szCs w:val="28"/>
          <w:lang w:bidi="th-TH"/>
        </w:rPr>
        <w:t>จ</w:t>
      </w:r>
      <w:r w:rsidR="00D365DB" w:rsidRPr="00D365DB">
        <w:rPr>
          <w:rFonts w:ascii="Browallia New" w:hAnsi="Browallia New" w:cs="Browallia New" w:hint="cs"/>
          <w:sz w:val="28"/>
          <w:szCs w:val="28"/>
          <w:cs/>
          <w:lang w:bidi="th-TH"/>
        </w:rPr>
        <w:t>ถูก</w:t>
      </w:r>
      <w:r w:rsidRPr="00466007">
        <w:rPr>
          <w:sz w:val="28"/>
          <w:szCs w:val="28"/>
          <w:lang w:bidi="th-TH"/>
        </w:rPr>
        <w:t>นำไปใช้ในการดำเนินการตอบโต้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เช่น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การยกเลิกวีซ่าหรือพุ่งเป้าไปที่สมาชิกครอบครัวที่ยังพำนักในต่างแดน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ในปี</w:t>
      </w:r>
      <w:r w:rsidRPr="00466007">
        <w:rPr>
          <w:sz w:val="28"/>
          <w:szCs w:val="28"/>
        </w:rPr>
        <w:t xml:space="preserve"> </w:t>
      </w:r>
      <w:r w:rsidRPr="00466007">
        <w:t>2023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รัฐต่างประเทศปฏิเสธคำร้องขอวีซ่าของบุคคลนิวซีแลนด์ที่ตั้งใจจะเยี่ยมครอบครัวในประเทศภูมิลำเนาเนื่องจากมีความ</w:t>
      </w:r>
      <w:r w:rsidR="00715D19">
        <w:rPr>
          <w:sz w:val="28"/>
          <w:szCs w:val="28"/>
          <w:lang w:val="en-NZ"/>
        </w:rPr>
        <w:t xml:space="preserve"> </w:t>
      </w:r>
      <w:r w:rsidRPr="00466007">
        <w:rPr>
          <w:sz w:val="28"/>
          <w:szCs w:val="28"/>
          <w:lang w:bidi="th-TH"/>
        </w:rPr>
        <w:t>เกี่ยวข้องกับกลุ่มชุมชนที่รัฐต่างประเทศไม่ชอบ</w:t>
      </w:r>
      <w:r w:rsidRPr="00466007">
        <w:rPr>
          <w:sz w:val="28"/>
          <w:szCs w:val="28"/>
        </w:rPr>
        <w:br/>
      </w:r>
    </w:p>
    <w:sectPr w:rsidR="004E192C" w:rsidRPr="00466007" w:rsidSect="002C4475">
      <w:footerReference w:type="default" r:id="rId10"/>
      <w:headerReference w:type="first" r:id="rId11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8D0E" w14:textId="77777777" w:rsidR="00733A3A" w:rsidRDefault="00733A3A">
      <w:r>
        <w:separator/>
      </w:r>
    </w:p>
    <w:p w14:paraId="3A731346" w14:textId="77777777" w:rsidR="00733A3A" w:rsidRDefault="00733A3A"/>
    <w:p w14:paraId="6BB73F51" w14:textId="77777777" w:rsidR="00733A3A" w:rsidRDefault="00733A3A"/>
  </w:endnote>
  <w:endnote w:type="continuationSeparator" w:id="0">
    <w:p w14:paraId="08022C86" w14:textId="77777777" w:rsidR="00733A3A" w:rsidRDefault="00733A3A">
      <w:r>
        <w:continuationSeparator/>
      </w:r>
    </w:p>
    <w:p w14:paraId="5672BDDC" w14:textId="77777777" w:rsidR="00733A3A" w:rsidRDefault="00733A3A"/>
    <w:p w14:paraId="0AEA8F12" w14:textId="77777777" w:rsidR="00733A3A" w:rsidRDefault="00733A3A"/>
  </w:endnote>
  <w:endnote w:type="continuationNotice" w:id="1">
    <w:p w14:paraId="2797FF5A" w14:textId="77777777" w:rsidR="00733A3A" w:rsidRDefault="00733A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252A" w14:textId="3E4CC145" w:rsidR="008504D0" w:rsidRPr="00466007" w:rsidRDefault="00FF6737" w:rsidP="00FF6737">
    <w:pPr>
      <w:pStyle w:val="Footer"/>
      <w:tabs>
        <w:tab w:val="left" w:pos="2070"/>
        <w:tab w:val="right" w:pos="9071"/>
      </w:tabs>
      <w:ind w:right="-1"/>
      <w:rPr>
        <w:sz w:val="22"/>
        <w:szCs w:val="22"/>
      </w:rPr>
    </w:pPr>
    <w:r w:rsidRPr="00466007">
      <w:rPr>
        <w:sz w:val="22"/>
        <w:szCs w:val="22"/>
      </w:rPr>
      <w:tab/>
    </w:r>
    <w:r w:rsidR="006A482D" w:rsidRPr="00466007">
      <w:rPr>
        <w:sz w:val="22"/>
        <w:szCs w:val="22"/>
      </w:rPr>
      <w:tab/>
    </w:r>
    <w:r w:rsidRPr="00466007">
      <w:rPr>
        <w:sz w:val="22"/>
        <w:szCs w:val="22"/>
      </w:rPr>
      <w:t xml:space="preserve">หน้า </w:t>
    </w:r>
    <w:r w:rsidR="008504D0" w:rsidRPr="00466007">
      <w:rPr>
        <w:sz w:val="22"/>
        <w:szCs w:val="22"/>
      </w:rPr>
      <w:fldChar w:fldCharType="begin"/>
    </w:r>
    <w:r w:rsidR="008504D0" w:rsidRPr="00466007">
      <w:rPr>
        <w:sz w:val="22"/>
        <w:szCs w:val="22"/>
      </w:rPr>
      <w:instrText xml:space="preserve"> PAGE  \* Arabic  \* MERGEFORMAT </w:instrText>
    </w:r>
    <w:r w:rsidR="008504D0" w:rsidRPr="00466007">
      <w:rPr>
        <w:sz w:val="22"/>
        <w:szCs w:val="22"/>
      </w:rPr>
      <w:fldChar w:fldCharType="separate"/>
    </w:r>
    <w:r w:rsidRPr="00466007">
      <w:rPr>
        <w:sz w:val="22"/>
        <w:szCs w:val="22"/>
      </w:rPr>
      <w:t>1</w:t>
    </w:r>
    <w:r w:rsidR="008504D0" w:rsidRPr="00466007">
      <w:rPr>
        <w:sz w:val="22"/>
        <w:szCs w:val="22"/>
      </w:rPr>
      <w:fldChar w:fldCharType="end"/>
    </w:r>
    <w:r w:rsidRPr="00466007">
      <w:rPr>
        <w:sz w:val="22"/>
        <w:szCs w:val="22"/>
      </w:rPr>
      <w:t xml:space="preserve"> จาก </w:t>
    </w:r>
    <w:r w:rsidR="00203300" w:rsidRPr="00466007">
      <w:rPr>
        <w:sz w:val="22"/>
        <w:szCs w:val="22"/>
      </w:rPr>
      <w:fldChar w:fldCharType="begin"/>
    </w:r>
    <w:r w:rsidR="00203300" w:rsidRPr="00466007">
      <w:rPr>
        <w:sz w:val="22"/>
        <w:szCs w:val="22"/>
      </w:rPr>
      <w:instrText xml:space="preserve"> NUMPAGES   \* MERGEFORMAT </w:instrText>
    </w:r>
    <w:r w:rsidR="00203300" w:rsidRPr="00466007">
      <w:rPr>
        <w:sz w:val="22"/>
        <w:szCs w:val="22"/>
      </w:rPr>
      <w:fldChar w:fldCharType="separate"/>
    </w:r>
    <w:r w:rsidRPr="00466007">
      <w:rPr>
        <w:sz w:val="22"/>
        <w:szCs w:val="22"/>
      </w:rPr>
      <w:t>1</w:t>
    </w:r>
    <w:r w:rsidR="00203300" w:rsidRPr="0046600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16339" w14:textId="77777777" w:rsidR="00733A3A" w:rsidRDefault="00733A3A" w:rsidP="00FB1990">
      <w:pPr>
        <w:pStyle w:val="Spacer"/>
      </w:pPr>
      <w:r>
        <w:separator/>
      </w:r>
    </w:p>
    <w:p w14:paraId="7A686D9A" w14:textId="77777777" w:rsidR="00733A3A" w:rsidRDefault="00733A3A" w:rsidP="00FB1990">
      <w:pPr>
        <w:pStyle w:val="Spacer"/>
      </w:pPr>
    </w:p>
  </w:footnote>
  <w:footnote w:type="continuationSeparator" w:id="0">
    <w:p w14:paraId="57187985" w14:textId="77777777" w:rsidR="00733A3A" w:rsidRDefault="00733A3A">
      <w:r>
        <w:continuationSeparator/>
      </w:r>
    </w:p>
    <w:p w14:paraId="60FAC612" w14:textId="77777777" w:rsidR="00733A3A" w:rsidRDefault="00733A3A"/>
    <w:p w14:paraId="0F8D89D1" w14:textId="77777777" w:rsidR="00733A3A" w:rsidRDefault="00733A3A"/>
  </w:footnote>
  <w:footnote w:type="continuationNotice" w:id="1">
    <w:p w14:paraId="6F4B7582" w14:textId="77777777" w:rsidR="00733A3A" w:rsidRDefault="00733A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3A0E" w14:textId="04B0FCDD" w:rsidR="002C4475" w:rsidRDefault="002C4475" w:rsidP="002C4475">
    <w:pPr>
      <w:pStyle w:val="Header"/>
      <w:jc w:val="center"/>
    </w:pPr>
    <w:r>
      <w:rPr>
        <w:noProof/>
      </w:rPr>
      <w:drawing>
        <wp:inline distT="0" distB="0" distL="0" distR="0" wp14:anchorId="14E16BA0" wp14:editId="26EA9B97">
          <wp:extent cx="4762500" cy="952500"/>
          <wp:effectExtent l="0" t="0" r="0" b="0"/>
          <wp:docPr id="51855675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077746104">
    <w:abstractNumId w:val="5"/>
  </w:num>
  <w:num w:numId="2" w16cid:durableId="18819149">
    <w:abstractNumId w:val="4"/>
  </w:num>
  <w:num w:numId="3" w16cid:durableId="1425422310">
    <w:abstractNumId w:val="3"/>
  </w:num>
  <w:num w:numId="4" w16cid:durableId="1120493507">
    <w:abstractNumId w:val="2"/>
  </w:num>
  <w:num w:numId="5" w16cid:durableId="669144067">
    <w:abstractNumId w:val="1"/>
  </w:num>
  <w:num w:numId="6" w16cid:durableId="876965172">
    <w:abstractNumId w:val="0"/>
  </w:num>
  <w:num w:numId="7" w16cid:durableId="2082873894">
    <w:abstractNumId w:val="16"/>
  </w:num>
  <w:num w:numId="8" w16cid:durableId="2125726872">
    <w:abstractNumId w:val="17"/>
  </w:num>
  <w:num w:numId="9" w16cid:durableId="356539756">
    <w:abstractNumId w:val="14"/>
  </w:num>
  <w:num w:numId="10" w16cid:durableId="1493595776">
    <w:abstractNumId w:val="10"/>
  </w:num>
  <w:num w:numId="11" w16cid:durableId="1895700330">
    <w:abstractNumId w:val="18"/>
  </w:num>
  <w:num w:numId="12" w16cid:durableId="1713269754">
    <w:abstractNumId w:val="20"/>
  </w:num>
  <w:num w:numId="13" w16cid:durableId="980814291">
    <w:abstractNumId w:val="22"/>
  </w:num>
  <w:num w:numId="14" w16cid:durableId="75514872">
    <w:abstractNumId w:val="7"/>
  </w:num>
  <w:num w:numId="15" w16cid:durableId="282200864">
    <w:abstractNumId w:val="12"/>
  </w:num>
  <w:num w:numId="16" w16cid:durableId="1209538470">
    <w:abstractNumId w:val="23"/>
  </w:num>
  <w:num w:numId="17" w16cid:durableId="1602568940">
    <w:abstractNumId w:val="21"/>
  </w:num>
  <w:num w:numId="18" w16cid:durableId="565842404">
    <w:abstractNumId w:val="19"/>
  </w:num>
  <w:num w:numId="19" w16cid:durableId="1197812990">
    <w:abstractNumId w:val="15"/>
  </w:num>
  <w:num w:numId="20" w16cid:durableId="243881352">
    <w:abstractNumId w:val="13"/>
  </w:num>
  <w:num w:numId="21" w16cid:durableId="2044741630">
    <w:abstractNumId w:val="9"/>
  </w:num>
  <w:num w:numId="22" w16cid:durableId="1505821675">
    <w:abstractNumId w:val="6"/>
  </w:num>
  <w:num w:numId="23" w16cid:durableId="1567760234">
    <w:abstractNumId w:val="11"/>
  </w:num>
  <w:num w:numId="24" w16cid:durableId="5100590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4AA4"/>
    <w:rsid w:val="000C0B4D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C4475"/>
    <w:rsid w:val="002D3125"/>
    <w:rsid w:val="002D4F42"/>
    <w:rsid w:val="002D7DCA"/>
    <w:rsid w:val="002F0DFE"/>
    <w:rsid w:val="0030084C"/>
    <w:rsid w:val="003039E1"/>
    <w:rsid w:val="003129BA"/>
    <w:rsid w:val="003148FC"/>
    <w:rsid w:val="0032132E"/>
    <w:rsid w:val="00330820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42322"/>
    <w:rsid w:val="004552A0"/>
    <w:rsid w:val="00457E34"/>
    <w:rsid w:val="00460A83"/>
    <w:rsid w:val="00460B3F"/>
    <w:rsid w:val="00464752"/>
    <w:rsid w:val="00466007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500032"/>
    <w:rsid w:val="00501C4B"/>
    <w:rsid w:val="005028A7"/>
    <w:rsid w:val="005078B7"/>
    <w:rsid w:val="00510D73"/>
    <w:rsid w:val="00511DB8"/>
    <w:rsid w:val="00512ACB"/>
    <w:rsid w:val="0052216D"/>
    <w:rsid w:val="00526115"/>
    <w:rsid w:val="00533FAF"/>
    <w:rsid w:val="005366B6"/>
    <w:rsid w:val="005465C3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370C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15D19"/>
    <w:rsid w:val="0073106E"/>
    <w:rsid w:val="00733A3A"/>
    <w:rsid w:val="00746902"/>
    <w:rsid w:val="00752E09"/>
    <w:rsid w:val="00755142"/>
    <w:rsid w:val="00756BB7"/>
    <w:rsid w:val="0075764B"/>
    <w:rsid w:val="00760C01"/>
    <w:rsid w:val="00761293"/>
    <w:rsid w:val="00767C04"/>
    <w:rsid w:val="007736A2"/>
    <w:rsid w:val="00777B4B"/>
    <w:rsid w:val="0079364E"/>
    <w:rsid w:val="007A6226"/>
    <w:rsid w:val="007B3C61"/>
    <w:rsid w:val="007B6FCC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ED7"/>
    <w:rsid w:val="008A2618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63FC4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54D6"/>
    <w:rsid w:val="00B47091"/>
    <w:rsid w:val="00B56534"/>
    <w:rsid w:val="00B57A21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0A77"/>
    <w:rsid w:val="00C31542"/>
    <w:rsid w:val="00C32FD8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365DB"/>
    <w:rsid w:val="00D42843"/>
    <w:rsid w:val="00D42DC9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73C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55931"/>
    <w:rsid w:val="00F727A5"/>
    <w:rsid w:val="00F82C41"/>
    <w:rsid w:val="00F847A9"/>
    <w:rsid w:val="00F92057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  <w15:docId w15:val="{39DB277B-9E77-472E-A669-94D835B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th-TH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val="th-T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254A-C940-478A-BE8A-4E152B18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Rory McKenzie</cp:lastModifiedBy>
  <cp:revision>6</cp:revision>
  <dcterms:created xsi:type="dcterms:W3CDTF">2024-11-28T20:58:00Z</dcterms:created>
  <dcterms:modified xsi:type="dcterms:W3CDTF">2024-12-19T20:18:00Z</dcterms:modified>
</cp:coreProperties>
</file>